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82D1" w14:textId="06948F8A" w:rsidR="001B39C8" w:rsidRPr="00125819" w:rsidRDefault="1CAC8BDA" w:rsidP="554EDEEC">
      <w:pPr>
        <w:rPr>
          <w:rFonts w:ascii="Calibri" w:hAnsi="Calibri"/>
          <w:b/>
          <w:bCs/>
          <w:sz w:val="22"/>
          <w:szCs w:val="22"/>
          <w:u w:val="single"/>
        </w:rPr>
      </w:pPr>
      <w:r w:rsidRPr="554EDEEC">
        <w:rPr>
          <w:rFonts w:ascii="Calibri" w:hAnsi="Calibri"/>
          <w:b/>
          <w:bCs/>
          <w:sz w:val="22"/>
          <w:szCs w:val="22"/>
          <w:u w:val="single"/>
        </w:rPr>
        <w:t xml:space="preserve">   </w:t>
      </w: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0D65D9A6" w:rsidR="001B39C8" w:rsidRPr="003A49A4" w:rsidRDefault="0076257A" w:rsidP="00056A39">
      <w:pPr>
        <w:ind w:left="3870" w:firstLine="720"/>
        <w:rPr>
          <w:rFonts w:ascii="Calibri" w:hAnsi="Calibri"/>
          <w:b/>
          <w:bCs/>
          <w:sz w:val="22"/>
          <w:szCs w:val="22"/>
        </w:rPr>
      </w:pPr>
      <w:r>
        <w:rPr>
          <w:rFonts w:ascii="Calibri" w:hAnsi="Calibri"/>
          <w:b/>
          <w:bCs/>
          <w:sz w:val="28"/>
          <w:szCs w:val="28"/>
        </w:rPr>
        <w:t xml:space="preserve">     </w:t>
      </w:r>
      <w:r w:rsidR="00C12F02" w:rsidRPr="003A49A4">
        <w:rPr>
          <w:rFonts w:ascii="Calibri" w:hAnsi="Calibri"/>
          <w:b/>
          <w:bCs/>
          <w:sz w:val="28"/>
          <w:szCs w:val="28"/>
        </w:rPr>
        <w:t xml:space="preserve">NC </w:t>
      </w:r>
      <w:r w:rsidR="001B39C8" w:rsidRPr="003A49A4">
        <w:rPr>
          <w:rFonts w:ascii="Calibri" w:hAnsi="Calibri"/>
          <w:b/>
          <w:bCs/>
          <w:sz w:val="28"/>
          <w:szCs w:val="28"/>
        </w:rPr>
        <w:t>Medicaid Managed Care</w:t>
      </w:r>
    </w:p>
    <w:p w14:paraId="3163224B" w14:textId="3B338D0F" w:rsidR="00AB5E07" w:rsidRPr="008260EA" w:rsidRDefault="00FB4813" w:rsidP="001B39C8">
      <w:pPr>
        <w:ind w:left="4590"/>
        <w:rPr>
          <w:rFonts w:ascii="Calibri" w:hAnsi="Calibri"/>
          <w:strike/>
          <w:sz w:val="28"/>
          <w:szCs w:val="28"/>
        </w:rPr>
      </w:pPr>
      <w:bookmarkStart w:id="0" w:name="_Hlk86824755"/>
      <w:r w:rsidRPr="003A49A4">
        <w:rPr>
          <w:rFonts w:ascii="Calibri" w:hAnsi="Calibri"/>
          <w:b/>
          <w:iCs/>
          <w:sz w:val="28"/>
          <w:szCs w:val="28"/>
        </w:rPr>
        <w:t xml:space="preserve">Data Specifications &amp; Requirements for Sharing </w:t>
      </w:r>
      <w:r w:rsidR="0076257A">
        <w:rPr>
          <w:rFonts w:ascii="Calibri" w:hAnsi="Calibri"/>
          <w:b/>
          <w:iCs/>
          <w:sz w:val="28"/>
          <w:szCs w:val="28"/>
        </w:rPr>
        <w:t xml:space="preserve">Data to Support </w:t>
      </w:r>
      <w:r w:rsidR="003A49A4">
        <w:rPr>
          <w:rFonts w:ascii="Calibri" w:hAnsi="Calibri"/>
          <w:b/>
          <w:iCs/>
          <w:sz w:val="28"/>
          <w:szCs w:val="28"/>
        </w:rPr>
        <w:t>Care Management for High</w:t>
      </w:r>
      <w:r w:rsidR="00883C9F">
        <w:rPr>
          <w:rFonts w:ascii="Calibri" w:hAnsi="Calibri"/>
          <w:b/>
          <w:iCs/>
          <w:sz w:val="28"/>
          <w:szCs w:val="28"/>
        </w:rPr>
        <w:t>-</w:t>
      </w:r>
      <w:r w:rsidR="003A49A4">
        <w:rPr>
          <w:rFonts w:ascii="Calibri" w:hAnsi="Calibri"/>
          <w:b/>
          <w:iCs/>
          <w:sz w:val="28"/>
          <w:szCs w:val="28"/>
        </w:rPr>
        <w:t>Risk Pregnan</w:t>
      </w:r>
      <w:r w:rsidR="00883C9F">
        <w:rPr>
          <w:rFonts w:ascii="Calibri" w:hAnsi="Calibri"/>
          <w:b/>
          <w:iCs/>
          <w:sz w:val="28"/>
          <w:szCs w:val="28"/>
        </w:rPr>
        <w:t xml:space="preserve">cies </w:t>
      </w:r>
      <w:bookmarkEnd w:id="0"/>
      <w:r w:rsidR="00883C9F">
        <w:rPr>
          <w:rFonts w:ascii="Calibri" w:hAnsi="Calibri"/>
          <w:b/>
          <w:i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CA9E37F">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FF522A" w14:textId="77777777" w:rsidR="00393673" w:rsidRPr="008260EA" w:rsidRDefault="00393673" w:rsidP="00E43827">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00393673" w:rsidRPr="008260EA" w14:paraId="764B95BF"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A7581F1" w14:textId="77777777" w:rsidR="00393673" w:rsidRPr="008260EA" w:rsidRDefault="00393673" w:rsidP="00E43827">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906FBCE" w14:textId="77777777" w:rsidR="00393673" w:rsidRPr="008260EA" w:rsidRDefault="00393673" w:rsidP="00E43827">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BF6CE0C" w14:textId="77777777" w:rsidR="00393673" w:rsidRPr="008260EA" w:rsidRDefault="00393673" w:rsidP="00E43827">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CBCB619" w14:textId="77777777" w:rsidR="00393673" w:rsidRPr="008260EA" w:rsidRDefault="00393673" w:rsidP="00E43827">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EA2C4B4" w14:textId="77777777" w:rsidR="00393673" w:rsidRPr="008260EA" w:rsidRDefault="00393673" w:rsidP="00E43827">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561359C" w14:textId="77777777" w:rsidR="00393673" w:rsidRPr="008260EA" w:rsidRDefault="00393673" w:rsidP="00E43827">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1A69343" w14:textId="77777777" w:rsidR="00393673" w:rsidRPr="008260EA" w:rsidRDefault="00393673" w:rsidP="00E43827">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E6C390D" w14:textId="77777777" w:rsidR="00393673" w:rsidRDefault="00393673" w:rsidP="00E43827">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8D554AD" w14:textId="77777777" w:rsidR="00393673" w:rsidRDefault="00393673" w:rsidP="00E43827">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E43827">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1B199F6" w14:textId="77777777" w:rsidR="00393673" w:rsidRDefault="00393673" w:rsidP="00E43827">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56C173C" w14:textId="77777777" w:rsidR="00393673" w:rsidRDefault="00393673" w:rsidP="00E43827">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EC41A5C" w14:textId="77777777" w:rsidR="00393673" w:rsidRPr="00ED5F9F" w:rsidRDefault="00393673" w:rsidP="00E43827">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E43827">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E43827">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CA75C20" w14:textId="02BBBA3E" w:rsidR="00996A8D" w:rsidRDefault="00996A8D" w:rsidP="00E43827">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B85E15D" w14:textId="201F619F" w:rsidR="00996A8D" w:rsidRDefault="00D91302" w:rsidP="00E43827">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A2366EE" w14:textId="30C65820" w:rsidR="00996A8D" w:rsidRPr="00ED5F9F" w:rsidRDefault="00D91302" w:rsidP="00E43827">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AF688F6" w14:textId="4CEBA50B" w:rsidR="00270AD8" w:rsidRPr="00244845" w:rsidRDefault="00270AD8" w:rsidP="00E43827">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EF12008" w14:textId="3D8EEDEC" w:rsidR="00270AD8" w:rsidRPr="00244845" w:rsidRDefault="00270AD8" w:rsidP="00E43827">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366A482" w14:textId="33BF52E3" w:rsidR="00270AD8" w:rsidRPr="00244845" w:rsidRDefault="00270AD8" w:rsidP="00E43827">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lastRenderedPageBreak/>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758BE6D7" w14:textId="77777777" w:rsidR="00190F3D" w:rsidRPr="008260EA" w:rsidRDefault="00190F3D" w:rsidP="00190F3D">
      <w:pPr>
        <w:rPr>
          <w:rFonts w:ascii="Calibri" w:hAnsi="Calibri"/>
          <w:b/>
          <w:sz w:val="22"/>
          <w:szCs w:val="22"/>
        </w:rPr>
      </w:pPr>
    </w:p>
    <w:p w14:paraId="1323C915" w14:textId="77777777" w:rsidR="00190F3D" w:rsidRPr="00E43827" w:rsidRDefault="00190F3D" w:rsidP="00190F3D">
      <w:pPr>
        <w:numPr>
          <w:ilvl w:val="0"/>
          <w:numId w:val="3"/>
        </w:numPr>
        <w:ind w:left="720"/>
        <w:rPr>
          <w:rFonts w:ascii="Calibri" w:hAnsi="Calibri"/>
          <w:b/>
          <w:strike/>
          <w:sz w:val="22"/>
          <w:szCs w:val="22"/>
        </w:rPr>
      </w:pPr>
      <w:r w:rsidRPr="00E43827">
        <w:rPr>
          <w:rFonts w:ascii="Calibri" w:hAnsi="Calibri"/>
          <w:b/>
          <w:strike/>
          <w:sz w:val="22"/>
          <w:szCs w:val="22"/>
        </w:rPr>
        <w:t xml:space="preserve">Patient List/Risk Score File – </w:t>
      </w:r>
      <w:r w:rsidRPr="00E43827">
        <w:rPr>
          <w:rFonts w:ascii="Calibri" w:hAnsi="Calibri"/>
          <w:b/>
          <w:bCs/>
          <w:strike/>
          <w:sz w:val="22"/>
          <w:szCs w:val="22"/>
        </w:rPr>
        <w:t>LHD Care</w:t>
      </w:r>
      <w:r w:rsidRPr="00E43827">
        <w:rPr>
          <w:rFonts w:ascii="Calibri" w:hAnsi="Calibri"/>
          <w:b/>
          <w:strike/>
          <w:sz w:val="22"/>
          <w:szCs w:val="22"/>
        </w:rPr>
        <w:t xml:space="preserve"> Management Data Platform to </w:t>
      </w:r>
      <w:r w:rsidRPr="00E43827">
        <w:rPr>
          <w:rFonts w:ascii="Calibri" w:hAnsi="Calibri"/>
          <w:b/>
          <w:bCs/>
          <w:strike/>
          <w:sz w:val="22"/>
          <w:szCs w:val="22"/>
        </w:rPr>
        <w:t>BH I/DD Tailored Plans</w:t>
      </w:r>
      <w:r>
        <w:rPr>
          <w:rFonts w:ascii="Calibri" w:hAnsi="Calibri"/>
          <w:b/>
          <w:bCs/>
          <w:strike/>
          <w:sz w:val="22"/>
          <w:szCs w:val="22"/>
        </w:rPr>
        <w:t xml:space="preserve"> </w:t>
      </w:r>
      <w:r w:rsidRPr="00D25DF5">
        <w:rPr>
          <w:rFonts w:ascii="Calibri" w:hAnsi="Calibri"/>
          <w:b/>
          <w:i/>
          <w:iCs/>
          <w:color w:val="FF0000"/>
          <w:sz w:val="22"/>
          <w:szCs w:val="22"/>
        </w:rPr>
        <w:t>This file will be replaced by CMHRP Interaction Level Report from LHD T</w:t>
      </w:r>
      <w:r>
        <w:rPr>
          <w:rFonts w:ascii="Calibri" w:hAnsi="Calibri"/>
          <w:b/>
          <w:i/>
          <w:iCs/>
          <w:color w:val="FF0000"/>
          <w:sz w:val="22"/>
          <w:szCs w:val="22"/>
        </w:rPr>
        <w:t xml:space="preserve">o BH I/DD TPs </w:t>
      </w:r>
      <w:r w:rsidRPr="00D25DF5">
        <w:rPr>
          <w:rFonts w:ascii="Calibri" w:hAnsi="Calibri"/>
          <w:b/>
          <w:i/>
          <w:iCs/>
          <w:color w:val="FF0000"/>
          <w:sz w:val="22"/>
          <w:szCs w:val="22"/>
        </w:rPr>
        <w:t xml:space="preserve">and </w:t>
      </w:r>
      <w:r>
        <w:rPr>
          <w:rFonts w:ascii="Calibri" w:hAnsi="Calibri"/>
          <w:b/>
          <w:i/>
          <w:iCs/>
          <w:color w:val="FF0000"/>
          <w:sz w:val="22"/>
          <w:szCs w:val="22"/>
        </w:rPr>
        <w:t xml:space="preserve">will </w:t>
      </w:r>
      <w:r w:rsidRPr="00D25DF5">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w:t>
      </w:r>
    </w:p>
    <w:p w14:paraId="5EE5F196" w14:textId="77777777" w:rsidR="00190F3D" w:rsidRDefault="00190F3D" w:rsidP="00190F3D">
      <w:pPr>
        <w:pStyle w:val="ListParagraph"/>
        <w:rPr>
          <w:rFonts w:ascii="Calibri" w:hAnsi="Calibri"/>
          <w:b/>
          <w:sz w:val="22"/>
          <w:szCs w:val="22"/>
        </w:rPr>
      </w:pPr>
    </w:p>
    <w:p w14:paraId="3671E1DB"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CMHRP Daily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2A963BAE" w14:textId="77777777" w:rsidR="00190F3D" w:rsidRPr="00D278F6" w:rsidRDefault="00190F3D" w:rsidP="00190F3D">
      <w:pPr>
        <w:ind w:left="1080"/>
        <w:rPr>
          <w:rFonts w:ascii="Calibri" w:hAnsi="Calibri"/>
          <w:b/>
          <w:sz w:val="22"/>
          <w:szCs w:val="22"/>
        </w:rPr>
      </w:pPr>
    </w:p>
    <w:p w14:paraId="607C5BC0" w14:textId="77777777" w:rsidR="00190F3D" w:rsidRPr="00E43827" w:rsidRDefault="00190F3D" w:rsidP="00190F3D">
      <w:pPr>
        <w:numPr>
          <w:ilvl w:val="0"/>
          <w:numId w:val="3"/>
        </w:numPr>
        <w:ind w:left="720"/>
        <w:rPr>
          <w:rFonts w:ascii="Calibri" w:hAnsi="Calibri"/>
          <w:b/>
          <w:strike/>
          <w:sz w:val="22"/>
          <w:szCs w:val="22"/>
        </w:rPr>
      </w:pPr>
      <w:r w:rsidRPr="00E43827">
        <w:rPr>
          <w:rFonts w:ascii="Calibri" w:hAnsi="Calibri"/>
          <w:b/>
          <w:strike/>
          <w:sz w:val="22"/>
          <w:szCs w:val="22"/>
        </w:rPr>
        <w:t xml:space="preserve">CMHRP Performance Report </w:t>
      </w:r>
      <w:r w:rsidRPr="00624B5E">
        <w:rPr>
          <w:rFonts w:ascii="Calibri" w:hAnsi="Calibri"/>
          <w:b/>
          <w:i/>
          <w:iCs/>
          <w:color w:val="FF0000"/>
          <w:sz w:val="22"/>
          <w:szCs w:val="22"/>
        </w:rPr>
        <w:t>This report will be replaced by CMHRP Interaction Level Report from LHD T</w:t>
      </w:r>
      <w:r>
        <w:rPr>
          <w:rFonts w:ascii="Calibri" w:hAnsi="Calibri"/>
          <w:b/>
          <w:i/>
          <w:iCs/>
          <w:color w:val="FF0000"/>
          <w:sz w:val="22"/>
          <w:szCs w:val="22"/>
        </w:rPr>
        <w:t xml:space="preserve">o BH I/DD TPs </w:t>
      </w:r>
      <w:r w:rsidRPr="00624B5E">
        <w:rPr>
          <w:rFonts w:ascii="Calibri" w:hAnsi="Calibri"/>
          <w:b/>
          <w:i/>
          <w:iCs/>
          <w:color w:val="FF0000"/>
          <w:sz w:val="22"/>
          <w:szCs w:val="22"/>
        </w:rPr>
        <w:t xml:space="preserve">and </w:t>
      </w:r>
      <w:r>
        <w:rPr>
          <w:rFonts w:ascii="Calibri" w:hAnsi="Calibri"/>
          <w:b/>
          <w:i/>
          <w:iCs/>
          <w:color w:val="FF0000"/>
          <w:sz w:val="22"/>
          <w:szCs w:val="22"/>
        </w:rPr>
        <w:t xml:space="preserve">will </w:t>
      </w:r>
      <w:r w:rsidRPr="00624B5E">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w:t>
      </w:r>
    </w:p>
    <w:p w14:paraId="1DD8B0EA" w14:textId="77777777" w:rsidR="00190F3D" w:rsidRDefault="00190F3D" w:rsidP="00190F3D">
      <w:pPr>
        <w:pStyle w:val="ListParagraph"/>
        <w:rPr>
          <w:rFonts w:ascii="Calibri" w:hAnsi="Calibri"/>
          <w:b/>
          <w:strike/>
          <w:sz w:val="22"/>
          <w:szCs w:val="22"/>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000C70B1" w:rsidRPr="008260EA">
        <w:rPr>
          <w:rFonts w:ascii="Calibri" w:hAnsi="Calibri"/>
          <w:b/>
          <w:color w:val="000000"/>
          <w:sz w:val="22"/>
          <w:szCs w:val="22"/>
          <w:u w:val="single"/>
        </w:rPr>
        <w:br/>
      </w:r>
    </w:p>
    <w:p w14:paraId="46ABA0C9" w14:textId="5889A9A0" w:rsidR="006E21BB" w:rsidRDefault="006E21BB" w:rsidP="00A77BE6">
      <w:pPr>
        <w:rPr>
          <w:rFonts w:ascii="Calibri" w:hAnsi="Calibri"/>
          <w:sz w:val="22"/>
          <w:szCs w:val="22"/>
        </w:rPr>
      </w:pPr>
      <w:r w:rsidRPr="006E21BB">
        <w:rPr>
          <w:rFonts w:ascii="Calibri" w:hAnsi="Calibri"/>
          <w:sz w:val="22"/>
          <w:szCs w:val="22"/>
        </w:rPr>
        <w:t xml:space="preserve">Currently, </w:t>
      </w:r>
      <w:r w:rsidR="00E323B3" w:rsidRPr="00DF42B8">
        <w:rPr>
          <w:rFonts w:ascii="Calibri" w:hAnsi="Calibri"/>
          <w:sz w:val="22"/>
          <w:szCs w:val="22"/>
        </w:rPr>
        <w:t>the North Carolina Department of Health and Human Services (the Department)</w:t>
      </w:r>
      <w:r w:rsidR="00DF42B8">
        <w:rPr>
          <w:rFonts w:ascii="Calibri" w:hAnsi="Calibri"/>
          <w:sz w:val="22"/>
          <w:szCs w:val="22"/>
        </w:rPr>
        <w:t xml:space="preserve">, </w:t>
      </w:r>
      <w:r w:rsidRPr="006E21BB">
        <w:rPr>
          <w:rFonts w:ascii="Calibri" w:hAnsi="Calibri"/>
          <w:sz w:val="22"/>
          <w:szCs w:val="22"/>
        </w:rPr>
        <w:t xml:space="preserve">provides care management for women experiencing high-risk pregnancies through programs 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 (TP)</w:t>
      </w:r>
      <w:r w:rsidR="00D63B9E">
        <w:rPr>
          <w:rStyle w:val="normaltextrun"/>
          <w:rFonts w:ascii="Calibri" w:hAnsi="Calibri" w:cs="Calibri"/>
          <w:color w:val="000000"/>
          <w:sz w:val="22"/>
          <w:szCs w:val="22"/>
          <w:shd w:val="clear" w:color="auto" w:fill="FFFFFF"/>
        </w:rPr>
        <w:t xml:space="preserve"> </w:t>
      </w:r>
      <w:r w:rsidRPr="006E21BB">
        <w:rPr>
          <w:rFonts w:ascii="Calibri" w:hAnsi="Calibri"/>
          <w:sz w:val="22"/>
          <w:szCs w:val="22"/>
        </w:rPr>
        <w:t xml:space="preserve">will be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Pr="006E21BB">
        <w:rPr>
          <w:rFonts w:ascii="Calibri" w:hAnsi="Calibri"/>
          <w:sz w:val="22"/>
          <w:szCs w:val="22"/>
        </w:rPr>
        <w:t xml:space="preserve">. Accordingly, for the </w:t>
      </w:r>
      <w:r w:rsidR="00A63B5F">
        <w:rPr>
          <w:rFonts w:ascii="Calibri" w:hAnsi="Calibri"/>
          <w:sz w:val="22"/>
          <w:szCs w:val="22"/>
        </w:rPr>
        <w:t>second</w:t>
      </w:r>
      <w:r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66465EE5"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information on 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D40838"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00A77BE6"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D40838"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sidR="00A77BE6">
          <w:rPr>
            <w:rStyle w:val="Hyperlink"/>
            <w:rFonts w:ascii="Calibri" w:hAnsi="Calibri" w:cs="Calibri"/>
            <w:sz w:val="22"/>
            <w:szCs w:val="22"/>
          </w:rPr>
          <w:t xml:space="preserve">Tailored </w:t>
        </w:r>
        <w:r w:rsidR="00A77BE6" w:rsidRPr="000836AA">
          <w:rPr>
            <w:rStyle w:val="Hyperlink"/>
            <w:rFonts w:ascii="Calibri" w:hAnsi="Calibri" w:cs="Calibri"/>
            <w:sz w:val="22"/>
            <w:szCs w:val="22"/>
          </w:rPr>
          <w:t>C</w:t>
        </w:r>
        <w:r w:rsidR="00A77BE6">
          <w:rPr>
            <w:rStyle w:val="Hyperlink"/>
            <w:rFonts w:ascii="Calibri" w:hAnsi="Calibri" w:cs="Calibri"/>
            <w:sz w:val="22"/>
            <w:szCs w:val="22"/>
          </w:rPr>
          <w:t>M</w:t>
        </w:r>
        <w:r w:rsidR="00A77BE6" w:rsidRPr="000836AA">
          <w:rPr>
            <w:rStyle w:val="Hyperlink"/>
            <w:rFonts w:ascii="Calibri" w:hAnsi="Calibri" w:cs="Calibri"/>
            <w:sz w:val="22"/>
            <w:szCs w:val="22"/>
          </w:rPr>
          <w:t xml:space="preserve"> Data System Guidance</w:t>
        </w:r>
      </w:hyperlink>
      <w:r w:rsidR="00A77BE6">
        <w:rPr>
          <w:rStyle w:val="normaltextrun"/>
          <w:rFonts w:ascii="Calibri" w:hAnsi="Calibri" w:cs="Calibri"/>
          <w:color w:val="000000"/>
          <w:sz w:val="22"/>
          <w:szCs w:val="22"/>
        </w:rPr>
        <w:t xml:space="preserve"> </w:t>
      </w:r>
    </w:p>
    <w:p w14:paraId="31A59489" w14:textId="77777777" w:rsidR="00A77BE6" w:rsidRPr="000836AA" w:rsidRDefault="00D40838"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sidR="00A77BE6">
          <w:rPr>
            <w:rStyle w:val="Hyperlink"/>
            <w:rFonts w:ascii="Calibri" w:hAnsi="Calibri" w:cs="Calibri"/>
            <w:sz w:val="22"/>
            <w:szCs w:val="22"/>
          </w:rPr>
          <w:t>Tailored CM</w:t>
        </w:r>
        <w:r w:rsidR="00A77BE6" w:rsidRPr="000836AA">
          <w:rPr>
            <w:rStyle w:val="Hyperlink"/>
            <w:rFonts w:ascii="Calibri" w:hAnsi="Calibri" w:cs="Calibri"/>
            <w:sz w:val="22"/>
            <w:szCs w:val="22"/>
          </w:rPr>
          <w:t xml:space="preserve"> Data Strategy FAQ</w:t>
        </w:r>
      </w:hyperlink>
      <w:r w:rsidR="00A77BE6">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05C577CB" w:rsidR="00340C13" w:rsidRPr="00832E72" w:rsidRDefault="00930EA9" w:rsidP="00930EA9">
      <w:pPr>
        <w:rPr>
          <w:rFonts w:ascii="Calibri" w:hAnsi="Calibri"/>
          <w:sz w:val="22"/>
          <w:szCs w:val="22"/>
        </w:rPr>
      </w:pPr>
      <w:r w:rsidRPr="00832E72">
        <w:rPr>
          <w:rFonts w:ascii="Calibri" w:hAnsi="Calibri"/>
          <w:sz w:val="22"/>
          <w:szCs w:val="22"/>
        </w:rPr>
        <w:t xml:space="preserve">BH I/DD TPs will be 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CMHRP program</w:t>
      </w:r>
      <w:r w:rsidR="00832E72" w:rsidRPr="00832E72">
        <w:rPr>
          <w:rFonts w:ascii="Calibri" w:hAnsi="Calibri"/>
          <w:sz w:val="22"/>
          <w:szCs w:val="22"/>
        </w:rPr>
        <w:t xml:space="preserve"> (</w:t>
      </w:r>
      <w:proofErr w:type="gramStart"/>
      <w:r w:rsidR="00832E72" w:rsidRPr="00832E72">
        <w:rPr>
          <w:rFonts w:ascii="Calibri" w:hAnsi="Calibri"/>
          <w:sz w:val="22"/>
          <w:szCs w:val="22"/>
        </w:rPr>
        <w:t>i.e.</w:t>
      </w:r>
      <w:proofErr w:type="gramEnd"/>
      <w:r w:rsidR="00832E72" w:rsidRPr="00832E72">
        <w:rPr>
          <w:rFonts w:ascii="Calibri" w:hAnsi="Calibri"/>
          <w:sz w:val="22"/>
          <w:szCs w:val="22"/>
        </w:rPr>
        <w:t xml:space="preserv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5447B373"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r>
        <w:rPr>
          <w:rFonts w:ascii="Calibri" w:hAnsi="Calibri"/>
          <w:b/>
          <w:bCs/>
          <w:sz w:val="22"/>
          <w:szCs w:val="22"/>
        </w:rPr>
        <w:t>List</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7CE9E297"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for </w:t>
      </w:r>
      <w:r w:rsidR="00BF7E0C">
        <w:rPr>
          <w:rFonts w:ascii="Calibri" w:hAnsi="Calibri"/>
          <w:sz w:val="22"/>
          <w:szCs w:val="22"/>
        </w:rPr>
        <w:t>support</w:t>
      </w:r>
      <w:r w:rsidR="009E00D6">
        <w:rPr>
          <w:rFonts w:ascii="Calibri" w:hAnsi="Calibri"/>
          <w:sz w:val="22"/>
          <w:szCs w:val="22"/>
        </w:rPr>
        <w:t xml:space="preserve"> </w:t>
      </w:r>
      <w:r w:rsidR="00BF7E0C">
        <w:rPr>
          <w:rFonts w:ascii="Calibri" w:hAnsi="Calibri"/>
          <w:sz w:val="22"/>
          <w:szCs w:val="22"/>
        </w:rPr>
        <w:t>CMHRP program</w:t>
      </w:r>
      <w:r w:rsidR="009E00D6">
        <w:rPr>
          <w:rFonts w:ascii="Calibri" w:hAnsi="Calibri"/>
          <w:sz w:val="22"/>
          <w:szCs w:val="22"/>
        </w:rPr>
        <w:t xml:space="preserve">. </w:t>
      </w:r>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78CE1024"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77777777" w:rsidR="00895476" w:rsidRDefault="00C221F6" w:rsidP="00895476">
      <w:pPr>
        <w:rPr>
          <w:rFonts w:ascii="Calibri" w:hAnsi="Calibri"/>
          <w:sz w:val="22"/>
          <w:szCs w:val="22"/>
        </w:rPr>
      </w:pPr>
      <w:r>
        <w:rPr>
          <w:rFonts w:ascii="Calibri" w:hAnsi="Calibri"/>
          <w:b/>
          <w:sz w:val="22"/>
          <w:szCs w:val="22"/>
        </w:rPr>
        <w:lastRenderedPageBreak/>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895476">
        <w:rPr>
          <w:rFonts w:ascii="Calibri" w:hAnsi="Calibri"/>
          <w:sz w:val="22"/>
          <w:szCs w:val="22"/>
        </w:rPr>
        <w:t>Full file should include the current active/future panel for the File Target. Full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7"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1C86A8EB" w14:textId="0D2AE119" w:rsidR="00507030" w:rsidRDefault="005D1ED9" w:rsidP="00507030">
      <w:pPr>
        <w:rPr>
          <w:rFonts w:ascii="Calibri" w:hAnsi="Calibri"/>
          <w:sz w:val="22"/>
          <w:szCs w:val="22"/>
        </w:rPr>
      </w:pPr>
      <w:r w:rsidRPr="008260EA">
        <w:rPr>
          <w:rFonts w:ascii="Calibri" w:hAnsi="Calibri"/>
          <w:b/>
          <w:sz w:val="22"/>
          <w:szCs w:val="22"/>
        </w:rPr>
        <w:t xml:space="preserve">File Delivery Frequency: </w:t>
      </w:r>
      <w:r w:rsidR="00CD73AD" w:rsidRPr="001D09D8">
        <w:rPr>
          <w:rFonts w:ascii="Calibri" w:hAnsi="Calibri"/>
          <w:bCs/>
          <w:sz w:val="22"/>
          <w:szCs w:val="22"/>
        </w:rPr>
        <w:t>1</w:t>
      </w:r>
      <w:r w:rsidR="00CD73AD" w:rsidRPr="001D09D8">
        <w:rPr>
          <w:rFonts w:ascii="Calibri" w:hAnsi="Calibri"/>
          <w:bCs/>
          <w:sz w:val="22"/>
          <w:szCs w:val="22"/>
          <w:vertAlign w:val="superscript"/>
        </w:rPr>
        <w:t>st</w:t>
      </w:r>
      <w:r w:rsidR="00CD73AD" w:rsidRPr="001D09D8">
        <w:rPr>
          <w:rFonts w:ascii="Calibri" w:hAnsi="Calibri"/>
          <w:bCs/>
          <w:sz w:val="22"/>
          <w:szCs w:val="22"/>
        </w:rPr>
        <w:t xml:space="preserve"> Full file followed by daily incremental files and weekly full files</w:t>
      </w:r>
      <w:r w:rsidR="00CD73AD">
        <w:rPr>
          <w:rFonts w:ascii="Calibri" w:hAnsi="Calibri"/>
          <w:bCs/>
          <w:sz w:val="22"/>
          <w:szCs w:val="22"/>
        </w:rPr>
        <w:t xml:space="preserve">. </w:t>
      </w:r>
      <w:r w:rsidR="00CD73AD">
        <w:rPr>
          <w:rFonts w:ascii="Calibri" w:hAnsi="Calibri"/>
          <w:sz w:val="22"/>
          <w:szCs w:val="22"/>
        </w:rPr>
        <w:t xml:space="preserve">Weekly full files will ensure that data is reconciled between the source and target every </w:t>
      </w:r>
      <w:r w:rsidR="00CD73AD" w:rsidRPr="00A14B3A">
        <w:rPr>
          <w:rFonts w:ascii="Calibri" w:hAnsi="Calibri"/>
          <w:sz w:val="22"/>
          <w:szCs w:val="22"/>
        </w:rPr>
        <w:t>week</w:t>
      </w:r>
      <w:r w:rsidR="00A14B3A">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03AB011C" w14:textId="77777777" w:rsidR="00C94667" w:rsidRPr="00223E13" w:rsidRDefault="00A14B3A" w:rsidP="00C94667">
      <w:pPr>
        <w:pStyle w:val="ListParagraph"/>
        <w:numPr>
          <w:ilvl w:val="0"/>
          <w:numId w:val="55"/>
        </w:numPr>
        <w:rPr>
          <w:rFonts w:ascii="Calibri" w:hAnsi="Calibri"/>
          <w:sz w:val="22"/>
          <w:szCs w:val="22"/>
        </w:rPr>
      </w:pPr>
      <w:bookmarkStart w:id="4" w:name="OLE_LINK7"/>
      <w:bookmarkStart w:id="5" w:name="OLE_LINK8"/>
      <w:bookmarkStart w:id="6" w:name="OLE_LINK5"/>
      <w:bookmarkStart w:id="7" w:name="OLE_LINK6"/>
      <w:r w:rsidRPr="00223E13">
        <w:rPr>
          <w:rFonts w:ascii="Calibri" w:hAnsi="Calibri"/>
          <w:sz w:val="22"/>
          <w:szCs w:val="22"/>
        </w:rPr>
        <w:t>T</w:t>
      </w:r>
      <w:r w:rsidR="00FD2F7D" w:rsidRPr="00223E13">
        <w:rPr>
          <w:rFonts w:ascii="Calibri" w:hAnsi="Calibri"/>
          <w:sz w:val="22"/>
          <w:szCs w:val="22"/>
        </w:rPr>
        <w:t xml:space="preserve">he weekly full file </w:t>
      </w:r>
      <w:r w:rsidR="003F4374" w:rsidRPr="00223E13">
        <w:rPr>
          <w:rFonts w:ascii="Calibri" w:hAnsi="Calibri"/>
          <w:sz w:val="22"/>
          <w:szCs w:val="22"/>
        </w:rPr>
        <w:t xml:space="preserve">should be sent </w:t>
      </w:r>
      <w:r w:rsidR="00C94667" w:rsidRPr="00223E13">
        <w:rPr>
          <w:rFonts w:ascii="Calibri" w:hAnsi="Calibri"/>
          <w:sz w:val="22"/>
          <w:szCs w:val="22"/>
        </w:rPr>
        <w:t>every</w:t>
      </w:r>
      <w:r w:rsidR="00B743E2" w:rsidRPr="00223E13">
        <w:rPr>
          <w:rFonts w:ascii="Calibri" w:hAnsi="Calibri"/>
          <w:sz w:val="22"/>
          <w:szCs w:val="22"/>
        </w:rPr>
        <w:t xml:space="preserve"> </w:t>
      </w:r>
      <w:r w:rsidR="008E4B89" w:rsidRPr="00223E13">
        <w:rPr>
          <w:rFonts w:ascii="Calibri" w:hAnsi="Calibri"/>
          <w:sz w:val="22"/>
          <w:szCs w:val="22"/>
        </w:rPr>
        <w:t xml:space="preserve">Sunday </w:t>
      </w:r>
      <w:r w:rsidR="002E24E9" w:rsidRPr="00223E13">
        <w:rPr>
          <w:rFonts w:ascii="Calibri" w:hAnsi="Calibri"/>
          <w:sz w:val="22"/>
          <w:szCs w:val="22"/>
        </w:rPr>
        <w:t xml:space="preserve">between </w:t>
      </w:r>
      <w:r w:rsidR="00001963" w:rsidRPr="00223E13">
        <w:rPr>
          <w:rFonts w:ascii="Calibri" w:hAnsi="Calibri"/>
          <w:sz w:val="22"/>
          <w:szCs w:val="22"/>
        </w:rPr>
        <w:t>8</w:t>
      </w:r>
      <w:r w:rsidR="003F4374" w:rsidRPr="00223E13">
        <w:rPr>
          <w:rFonts w:ascii="Calibri" w:hAnsi="Calibri"/>
          <w:sz w:val="22"/>
          <w:szCs w:val="22"/>
        </w:rPr>
        <w:t>:00</w:t>
      </w:r>
      <w:r w:rsidR="0032225E" w:rsidRPr="00223E13">
        <w:rPr>
          <w:rFonts w:ascii="Calibri" w:hAnsi="Calibri"/>
          <w:sz w:val="22"/>
          <w:szCs w:val="22"/>
        </w:rPr>
        <w:t xml:space="preserve"> PM</w:t>
      </w:r>
      <w:r w:rsidR="002E24E9" w:rsidRPr="00223E13">
        <w:rPr>
          <w:rFonts w:ascii="Calibri" w:hAnsi="Calibri"/>
          <w:sz w:val="22"/>
          <w:szCs w:val="22"/>
        </w:rPr>
        <w:t xml:space="preserve"> to </w:t>
      </w:r>
      <w:r w:rsidR="00001963" w:rsidRPr="00223E13">
        <w:rPr>
          <w:rFonts w:ascii="Calibri" w:hAnsi="Calibri"/>
          <w:sz w:val="22"/>
          <w:szCs w:val="22"/>
        </w:rPr>
        <w:t>11:59 PM</w:t>
      </w:r>
      <w:r w:rsidR="003F4374" w:rsidRPr="00223E13">
        <w:rPr>
          <w:rFonts w:ascii="Calibri" w:hAnsi="Calibri"/>
          <w:sz w:val="22"/>
          <w:szCs w:val="22"/>
        </w:rPr>
        <w:t xml:space="preserve">. </w:t>
      </w:r>
    </w:p>
    <w:bookmarkEnd w:id="4"/>
    <w:bookmarkEnd w:id="5"/>
    <w:p w14:paraId="65F9E259" w14:textId="77777777" w:rsidR="00B252C7" w:rsidRPr="00223E13" w:rsidRDefault="003F4374" w:rsidP="00507030">
      <w:pPr>
        <w:pStyle w:val="ListParagraph"/>
        <w:numPr>
          <w:ilvl w:val="0"/>
          <w:numId w:val="55"/>
        </w:numPr>
        <w:rPr>
          <w:rFonts w:ascii="Calibri" w:hAnsi="Calibri"/>
          <w:sz w:val="22"/>
          <w:szCs w:val="22"/>
        </w:rPr>
      </w:pPr>
      <w:r w:rsidRPr="00223E13">
        <w:rPr>
          <w:rFonts w:ascii="Calibri" w:hAnsi="Calibri"/>
          <w:sz w:val="22"/>
          <w:szCs w:val="22"/>
        </w:rPr>
        <w:t>The incremental file should be sent</w:t>
      </w:r>
      <w:r w:rsidR="00001963" w:rsidRPr="00223E13">
        <w:rPr>
          <w:rFonts w:ascii="Calibri" w:hAnsi="Calibri"/>
          <w:sz w:val="22"/>
          <w:szCs w:val="22"/>
        </w:rPr>
        <w:t xml:space="preserve"> daily</w:t>
      </w:r>
      <w:r w:rsidRPr="00223E13">
        <w:rPr>
          <w:rFonts w:ascii="Calibri" w:hAnsi="Calibri"/>
          <w:sz w:val="22"/>
          <w:szCs w:val="22"/>
        </w:rPr>
        <w:t xml:space="preserve"> </w:t>
      </w:r>
      <w:r w:rsidR="002E24E9" w:rsidRPr="00223E13">
        <w:rPr>
          <w:rFonts w:ascii="Calibri" w:hAnsi="Calibri"/>
          <w:sz w:val="22"/>
          <w:szCs w:val="22"/>
        </w:rPr>
        <w:t xml:space="preserve">between </w:t>
      </w:r>
      <w:r w:rsidR="00001963" w:rsidRPr="00223E13">
        <w:rPr>
          <w:rFonts w:ascii="Calibri" w:hAnsi="Calibri"/>
          <w:sz w:val="22"/>
          <w:szCs w:val="22"/>
        </w:rPr>
        <w:t>8:00 PM to 11:59 PM</w:t>
      </w:r>
      <w:r w:rsidR="0015758F" w:rsidRPr="00223E13">
        <w:rPr>
          <w:rFonts w:ascii="Calibri" w:hAnsi="Calibri"/>
          <w:sz w:val="22"/>
          <w:szCs w:val="22"/>
        </w:rPr>
        <w:t>.</w:t>
      </w:r>
    </w:p>
    <w:bookmarkEnd w:id="6"/>
    <w:bookmarkEnd w:id="7"/>
    <w:p w14:paraId="24258C16" w14:textId="714986B4" w:rsidR="00BF14D2" w:rsidRPr="00223E13" w:rsidRDefault="00BF14D2" w:rsidP="00BF14D2">
      <w:pPr>
        <w:pStyle w:val="ListParagraph"/>
        <w:numPr>
          <w:ilvl w:val="0"/>
          <w:numId w:val="55"/>
        </w:numPr>
        <w:rPr>
          <w:rFonts w:ascii="Calibri" w:eastAsia="Calibri" w:hAnsi="Calibri" w:cs="Calibri"/>
          <w:sz w:val="22"/>
          <w:szCs w:val="22"/>
        </w:rPr>
      </w:pPr>
      <w:r w:rsidRPr="00223E13">
        <w:rPr>
          <w:rFonts w:ascii="Calibri" w:eastAsia="Calibri" w:hAnsi="Calibri" w:cs="Calibri"/>
          <w:sz w:val="22"/>
          <w:szCs w:val="22"/>
        </w:rPr>
        <w:t>Incremental file should also be sent on the day the full file is sent. The incremental file should be sent before the full file.</w:t>
      </w:r>
    </w:p>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0C7FFDC0" w:rsidR="005D1ED9" w:rsidRPr="00223E13" w:rsidRDefault="009F1F61" w:rsidP="009F1F61">
      <w:pPr>
        <w:pStyle w:val="ListParagraph"/>
        <w:numPr>
          <w:ilvl w:val="0"/>
          <w:numId w:val="65"/>
        </w:numPr>
        <w:rPr>
          <w:rFonts w:ascii="Calibri" w:hAnsi="Calibri"/>
          <w:sz w:val="22"/>
          <w:szCs w:val="22"/>
        </w:rPr>
      </w:pPr>
      <w:r w:rsidRPr="00223E13">
        <w:rPr>
          <w:rFonts w:ascii="Calibri" w:hAnsi="Calibri"/>
          <w:sz w:val="22"/>
          <w:szCs w:val="22"/>
        </w:rPr>
        <w:t xml:space="preserve">Full: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068BD382" w:rsidR="005E2183" w:rsidRPr="00223E13" w:rsidRDefault="005E2183" w:rsidP="002258DE">
      <w:pPr>
        <w:pStyle w:val="ListParagraph"/>
        <w:numPr>
          <w:ilvl w:val="0"/>
          <w:numId w:val="65"/>
        </w:numPr>
        <w:rPr>
          <w:rFonts w:ascii="Calibri" w:hAnsi="Calibri"/>
          <w:sz w:val="22"/>
          <w:szCs w:val="22"/>
        </w:rPr>
      </w:pPr>
      <w:r w:rsidRPr="00223E13">
        <w:rPr>
          <w:rFonts w:ascii="Calibri" w:hAnsi="Calibri"/>
          <w:sz w:val="22"/>
          <w:szCs w:val="22"/>
        </w:rPr>
        <w:t xml:space="preserve">Incremental: </w:t>
      </w:r>
      <w:proofErr w:type="spellStart"/>
      <w:r w:rsidRPr="00223E13">
        <w:rPr>
          <w:rFonts w:ascii="Calibri" w:hAnsi="Calibri"/>
          <w:sz w:val="22"/>
          <w:szCs w:val="22"/>
        </w:rPr>
        <w:t>NCMT_LHD_BeneficiaryAssignmentData_</w:t>
      </w:r>
      <w:r w:rsidR="005170E1" w:rsidRPr="00223E13">
        <w:rPr>
          <w:rFonts w:ascii="Calibri" w:hAnsi="Calibri"/>
          <w:sz w:val="22"/>
          <w:szCs w:val="22"/>
        </w:rPr>
        <w:t>I</w:t>
      </w:r>
      <w:r w:rsidR="00AE4CF0" w:rsidRPr="00223E13">
        <w:rPr>
          <w:rFonts w:ascii="Calibri" w:hAnsi="Calibri"/>
          <w:sz w:val="22"/>
          <w:szCs w:val="22"/>
        </w:rPr>
        <w:t>NC</w:t>
      </w:r>
      <w:proofErr w:type="spellEnd"/>
      <w:r w:rsidRPr="00223E13">
        <w:rPr>
          <w:rFonts w:ascii="Calibri" w:hAnsi="Calibri"/>
          <w:sz w:val="22"/>
          <w:szCs w:val="22"/>
        </w:rPr>
        <w:t>_&lt;</w:t>
      </w:r>
      <w:proofErr w:type="spellStart"/>
      <w:r w:rsidRPr="00223E13">
        <w:rPr>
          <w:rFonts w:ascii="Calibri" w:hAnsi="Calibri"/>
          <w:sz w:val="22"/>
          <w:szCs w:val="22"/>
        </w:rPr>
        <w:t>TPShortName</w:t>
      </w:r>
      <w:proofErr w:type="spellEnd"/>
      <w:r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4CC95D5" w14:textId="77777777" w:rsidR="00F93C8D" w:rsidRPr="00E22B25" w:rsidRDefault="00F93C8D" w:rsidP="006253FA">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Eastpointe = EAST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371C5C54"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8"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9"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 xml:space="preserve">Data Specifications &amp; Requirements for sharing Historical and Current Claims &amp; </w:t>
      </w:r>
      <w:r w:rsidR="00502C84" w:rsidRPr="00F01237">
        <w:rPr>
          <w:rFonts w:ascii="Calibri" w:hAnsi="Calibri"/>
          <w:sz w:val="22"/>
          <w:szCs w:val="22"/>
        </w:rPr>
        <w:lastRenderedPageBreak/>
        <w:t>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20" w:history="1">
        <w:r w:rsidR="007245FD">
          <w:rPr>
            <w:rStyle w:val="Hyperlink"/>
            <w:rFonts w:ascii="Calibri" w:hAnsi="Calibri"/>
            <w:sz w:val="22"/>
            <w:szCs w:val="22"/>
          </w:rPr>
          <w:t>Link</w:t>
        </w:r>
      </w:hyperlink>
      <w:r w:rsidR="007245FD">
        <w:rPr>
          <w:rFonts w:ascii="Calibri" w:hAnsi="Calibri"/>
          <w:sz w:val="22"/>
          <w:szCs w:val="22"/>
        </w:rPr>
        <w:t>.</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1"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onthly frequency files should be sent on 1</w:t>
      </w:r>
      <w:r w:rsidR="144EE87A" w:rsidRPr="7647A1F1">
        <w:rPr>
          <w:rFonts w:asciiTheme="minorHAnsi" w:hAnsiTheme="minorHAnsi" w:cstheme="minorBidi"/>
          <w:sz w:val="22"/>
          <w:szCs w:val="22"/>
          <w:vertAlign w:val="superscript"/>
        </w:rPr>
        <w:t>st</w:t>
      </w:r>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lastRenderedPageBreak/>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FF2B0C1"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06E086B"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proofErr w:type="gramStart"/>
      <w:r w:rsidR="00CB0E81" w:rsidRPr="008260EA">
        <w:rPr>
          <w:rFonts w:ascii="Calibri" w:hAnsi="Calibri" w:cs="Calibri"/>
          <w:bCs/>
          <w:sz w:val="22"/>
          <w:szCs w:val="22"/>
        </w:rPr>
        <w:t>carved-out</w:t>
      </w:r>
      <w:proofErr w:type="gramEnd"/>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2"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w:t>
      </w:r>
      <w:proofErr w:type="spellStart"/>
      <w:r w:rsidR="00A52A01" w:rsidRPr="7647A1F1">
        <w:rPr>
          <w:rFonts w:ascii="Calibri" w:hAnsi="Calibri"/>
          <w:sz w:val="22"/>
          <w:szCs w:val="22"/>
        </w:rPr>
        <w:t>DentalClaimsData</w:t>
      </w:r>
      <w:proofErr w:type="spellEnd"/>
      <w:r w:rsidR="00A52A01" w:rsidRPr="7647A1F1">
        <w:rPr>
          <w:rFonts w:ascii="Calibri" w:hAnsi="Calibri"/>
          <w:sz w:val="22"/>
          <w:szCs w:val="22"/>
        </w:rPr>
        <w:t>&gt;: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103A121"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83D5B15"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C81F1F3" w14:textId="4D607CDC" w:rsidR="0052491B" w:rsidRDefault="0052491B" w:rsidP="00815A4B">
      <w:pPr>
        <w:ind w:left="720"/>
        <w:rPr>
          <w:rFonts w:ascii="Calibri" w:hAnsi="Calibri"/>
          <w:sz w:val="22"/>
          <w:szCs w:val="22"/>
        </w:rPr>
      </w:pPr>
      <w:r>
        <w:br/>
      </w:r>
    </w:p>
    <w:p w14:paraId="7FC0C4F1" w14:textId="77777777" w:rsidR="00AC5E3B" w:rsidRDefault="00AC5E3B" w:rsidP="00AC5E3B">
      <w:pPr>
        <w:pStyle w:val="ListParagraph"/>
        <w:rPr>
          <w:rFonts w:ascii="Calibri" w:hAnsi="Calibri"/>
          <w:sz w:val="22"/>
          <w:szCs w:val="22"/>
        </w:rPr>
      </w:pP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 xml:space="preserve">lues. The pharmacy encounters file layout for </w:t>
      </w:r>
      <w:r w:rsidR="001C6776">
        <w:rPr>
          <w:rFonts w:ascii="Calibri" w:hAnsi="Calibri"/>
          <w:sz w:val="22"/>
          <w:szCs w:val="22"/>
        </w:rPr>
        <w:lastRenderedPageBreak/>
        <w:t>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3"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4" w:history="1">
        <w:r w:rsidR="00BB17AB">
          <w:rPr>
            <w:rStyle w:val="Hyperlink"/>
            <w:rFonts w:ascii="Calibri" w:hAnsi="Calibri"/>
            <w:sz w:val="22"/>
            <w:szCs w:val="22"/>
          </w:rPr>
          <w:t>Link</w:t>
        </w:r>
      </w:hyperlink>
      <w:r w:rsidR="00BB17AB">
        <w:rPr>
          <w:rFonts w:ascii="Calibri" w:hAnsi="Calibri"/>
          <w:sz w:val="22"/>
          <w:szCs w:val="22"/>
        </w:rPr>
        <w:t>.</w:t>
      </w: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5"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3" w:name="OLE_LINK17"/>
      <w:r w:rsidRPr="7647A1F1">
        <w:rPr>
          <w:rFonts w:asciiTheme="minorHAnsi" w:hAnsiTheme="minorHAnsi" w:cstheme="minorBidi"/>
          <w:sz w:val="22"/>
          <w:szCs w:val="22"/>
        </w:rPr>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3"/>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lastRenderedPageBreak/>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332672AF"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E717D91"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4"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5" w:name="_Hlk61508793"/>
      <w:r w:rsidR="006075FA" w:rsidRPr="008260EA">
        <w:rPr>
          <w:rFonts w:ascii="Calibri" w:hAnsi="Calibri"/>
          <w:b/>
          <w:color w:val="000000"/>
          <w:sz w:val="22"/>
          <w:szCs w:val="22"/>
          <w:u w:val="single"/>
        </w:rPr>
        <w:t xml:space="preserve"> </w:t>
      </w:r>
      <w:bookmarkStart w:id="16"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5"/>
      <w:bookmarkEnd w:id="16"/>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79CF4618" w:rsidR="006075FA" w:rsidRDefault="006075FA" w:rsidP="00BF241D">
      <w:pPr>
        <w:rPr>
          <w:rFonts w:ascii="Calibri" w:hAnsi="Calibri"/>
          <w:b/>
          <w:bCs/>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 xml:space="preserve">. </w:t>
      </w:r>
      <w:r w:rsidR="00CE10E8">
        <w:rPr>
          <w:rFonts w:ascii="Calibri" w:hAnsi="Calibri"/>
          <w:sz w:val="22"/>
          <w:szCs w:val="22"/>
        </w:rPr>
        <w:t xml:space="preserve">The </w:t>
      </w:r>
      <w:r w:rsidR="001C03C3">
        <w:rPr>
          <w:rFonts w:ascii="Calibri" w:hAnsi="Calibri"/>
          <w:sz w:val="22"/>
          <w:szCs w:val="22"/>
        </w:rPr>
        <w:t>p</w:t>
      </w:r>
      <w:r w:rsidR="00CE10E8">
        <w:rPr>
          <w:rFonts w:ascii="Calibri" w:hAnsi="Calibri"/>
          <w:sz w:val="22"/>
          <w:szCs w:val="22"/>
        </w:rPr>
        <w:t xml:space="preserve">atient </w:t>
      </w:r>
      <w:r w:rsidR="001C03C3">
        <w:rPr>
          <w:rFonts w:ascii="Calibri" w:hAnsi="Calibri"/>
          <w:sz w:val="22"/>
          <w:szCs w:val="22"/>
        </w:rPr>
        <w:t>l</w:t>
      </w:r>
      <w:r w:rsidR="00CE10E8">
        <w:rPr>
          <w:rFonts w:ascii="Calibri" w:hAnsi="Calibri"/>
          <w:sz w:val="22"/>
          <w:szCs w:val="22"/>
        </w:rPr>
        <w:t>ist/</w:t>
      </w:r>
      <w:r w:rsidR="001C03C3">
        <w:rPr>
          <w:rFonts w:ascii="Calibri" w:hAnsi="Calibri"/>
          <w:sz w:val="22"/>
          <w:szCs w:val="22"/>
        </w:rPr>
        <w:t>r</w:t>
      </w:r>
      <w:r w:rsidR="00CE10E8">
        <w:rPr>
          <w:rFonts w:ascii="Calibri" w:hAnsi="Calibri"/>
          <w:sz w:val="22"/>
          <w:szCs w:val="22"/>
        </w:rPr>
        <w:t xml:space="preserve">isk </w:t>
      </w:r>
      <w:r w:rsidR="001C03C3">
        <w:rPr>
          <w:rFonts w:ascii="Calibri" w:hAnsi="Calibri"/>
          <w:sz w:val="22"/>
          <w:szCs w:val="22"/>
        </w:rPr>
        <w:t xml:space="preserve">file layout for CMHRP program will match the </w:t>
      </w:r>
      <w:r w:rsidR="000D1E7E">
        <w:rPr>
          <w:rFonts w:ascii="Calibri" w:hAnsi="Calibri"/>
          <w:sz w:val="22"/>
          <w:szCs w:val="22"/>
        </w:rPr>
        <w:t xml:space="preserve">patient </w:t>
      </w:r>
      <w:r w:rsidR="00943FB5">
        <w:rPr>
          <w:rFonts w:ascii="Calibri" w:hAnsi="Calibri"/>
          <w:sz w:val="22"/>
          <w:szCs w:val="22"/>
        </w:rPr>
        <w:t>list/risk</w:t>
      </w:r>
      <w:r w:rsidR="000D1E7E">
        <w:rPr>
          <w:rFonts w:ascii="Calibri" w:hAnsi="Calibri"/>
          <w:sz w:val="22"/>
          <w:szCs w:val="22"/>
        </w:rPr>
        <w:t xml:space="preserve"> standard layout that will be used to support Tai</w:t>
      </w:r>
      <w:r w:rsidR="00255FD9">
        <w:rPr>
          <w:rFonts w:ascii="Calibri" w:hAnsi="Calibri"/>
          <w:sz w:val="22"/>
          <w:szCs w:val="22"/>
        </w:rPr>
        <w:t xml:space="preserve">lored Care Management. </w:t>
      </w:r>
      <w:bookmarkStart w:id="17" w:name="OLE_LINK15"/>
      <w:r w:rsidR="00255FD9">
        <w:rPr>
          <w:rFonts w:ascii="Calibri" w:hAnsi="Calibri"/>
          <w:sz w:val="22"/>
          <w:szCs w:val="22"/>
        </w:rPr>
        <w:t>Please refer to the Patient List/Risk file layout in the</w:t>
      </w:r>
      <w:r w:rsidR="00105C63">
        <w:rPr>
          <w:rFonts w:ascii="Calibri" w:hAnsi="Calibri"/>
          <w:sz w:val="22"/>
          <w:szCs w:val="22"/>
        </w:rPr>
        <w:t xml:space="preserve"> </w:t>
      </w:r>
      <w:bookmarkStart w:id="18" w:name="OLE_LINK16"/>
      <w:r w:rsidR="006645E9" w:rsidRPr="006645E9">
        <w:rPr>
          <w:rFonts w:ascii="Calibri" w:hAnsi="Calibri"/>
          <w:sz w:val="22"/>
          <w:szCs w:val="22"/>
        </w:rPr>
        <w:t>Data Specifications and Requirements for Sharing Patient Risk List Data</w:t>
      </w:r>
      <w:r w:rsidR="006645E9">
        <w:rPr>
          <w:rFonts w:ascii="Calibri" w:hAnsi="Calibri"/>
          <w:sz w:val="22"/>
          <w:szCs w:val="22"/>
        </w:rPr>
        <w:t xml:space="preserve"> </w:t>
      </w:r>
      <w:r w:rsidR="003B3C38">
        <w:rPr>
          <w:rFonts w:ascii="Calibri" w:hAnsi="Calibri"/>
          <w:sz w:val="22"/>
          <w:szCs w:val="22"/>
        </w:rPr>
        <w:t xml:space="preserve">guidance document </w:t>
      </w:r>
      <w:r w:rsidR="006645E9">
        <w:rPr>
          <w:rFonts w:ascii="Calibri" w:hAnsi="Calibri"/>
          <w:sz w:val="22"/>
          <w:szCs w:val="22"/>
        </w:rPr>
        <w:t xml:space="preserve">on the NC Medicaid </w:t>
      </w:r>
      <w:r w:rsidR="001C1659">
        <w:rPr>
          <w:rFonts w:ascii="Calibri" w:hAnsi="Calibri"/>
          <w:sz w:val="22"/>
          <w:szCs w:val="22"/>
        </w:rPr>
        <w:t>website</w:t>
      </w:r>
      <w:r w:rsidR="006645E9">
        <w:rPr>
          <w:rFonts w:ascii="Calibri" w:hAnsi="Calibri"/>
          <w:sz w:val="22"/>
          <w:szCs w:val="22"/>
        </w:rPr>
        <w:t xml:space="preserve"> </w:t>
      </w:r>
      <w:bookmarkEnd w:id="18"/>
      <w:r w:rsidR="003C3EA3">
        <w:rPr>
          <w:rFonts w:ascii="Calibri" w:hAnsi="Calibri"/>
          <w:sz w:val="22"/>
          <w:szCs w:val="22"/>
        </w:rPr>
        <w:t xml:space="preserve">– </w:t>
      </w:r>
      <w:hyperlink r:id="rId26" w:history="1">
        <w:r w:rsidR="003C3EA3" w:rsidRPr="00791D56">
          <w:rPr>
            <w:rStyle w:val="Hyperlink"/>
            <w:rFonts w:ascii="Calibri" w:hAnsi="Calibri"/>
            <w:sz w:val="22"/>
            <w:szCs w:val="22"/>
          </w:rPr>
          <w:t>Link</w:t>
        </w:r>
      </w:hyperlink>
      <w:r w:rsidR="00FE00BB">
        <w:rPr>
          <w:rFonts w:ascii="Calibri" w:hAnsi="Calibri"/>
          <w:sz w:val="22"/>
          <w:szCs w:val="22"/>
        </w:rPr>
        <w:t>.</w:t>
      </w:r>
      <w:r w:rsidR="00902D1A">
        <w:rPr>
          <w:rFonts w:ascii="Calibri" w:hAnsi="Calibri"/>
          <w:sz w:val="22"/>
          <w:szCs w:val="22"/>
        </w:rPr>
        <w:t xml:space="preserve"> </w:t>
      </w:r>
      <w:bookmarkEnd w:id="17"/>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6779A892" w14:textId="77777777" w:rsidR="00291B3C" w:rsidRPr="008260EA" w:rsidRDefault="00291B3C" w:rsidP="003E3675">
      <w:pPr>
        <w:jc w:val="center"/>
        <w:rPr>
          <w:rFonts w:ascii="Calibri" w:hAnsi="Calibri"/>
          <w:b/>
          <w:bCs/>
          <w:sz w:val="22"/>
          <w:szCs w:val="22"/>
        </w:rPr>
      </w:pPr>
    </w:p>
    <w:p w14:paraId="130071E6" w14:textId="17D9F169"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A7C8A" w:rsidRPr="37A50968">
        <w:rPr>
          <w:rFonts w:ascii="Calibri" w:hAnsi="Calibri"/>
          <w:color w:val="000000" w:themeColor="text1"/>
          <w:sz w:val="22"/>
          <w:szCs w:val="22"/>
        </w:rPr>
        <w:t xml:space="preserve">Beneficiaries identified </w:t>
      </w:r>
      <w:r w:rsidR="00631F04" w:rsidRPr="37A50968">
        <w:rPr>
          <w:rFonts w:ascii="Calibri" w:hAnsi="Calibri"/>
          <w:color w:val="000000" w:themeColor="text1"/>
          <w:sz w:val="22"/>
          <w:szCs w:val="22"/>
        </w:rPr>
        <w:t>as high</w:t>
      </w:r>
      <w:r w:rsidR="00A73316" w:rsidRPr="37A50968">
        <w:rPr>
          <w:rFonts w:ascii="Calibri" w:hAnsi="Calibri"/>
          <w:color w:val="000000" w:themeColor="text1"/>
          <w:sz w:val="22"/>
          <w:szCs w:val="22"/>
        </w:rPr>
        <w:t xml:space="preserve"> need</w:t>
      </w:r>
      <w:r w:rsidR="00631F04" w:rsidRPr="37A50968">
        <w:rPr>
          <w:rFonts w:ascii="Calibri" w:hAnsi="Calibri"/>
          <w:color w:val="000000" w:themeColor="text1"/>
          <w:sz w:val="22"/>
          <w:szCs w:val="22"/>
        </w:rPr>
        <w:t xml:space="preserve"> </w:t>
      </w:r>
      <w:r w:rsidR="00A73316" w:rsidRPr="37A50968">
        <w:rPr>
          <w:rFonts w:ascii="Calibri" w:hAnsi="Calibri"/>
          <w:color w:val="000000" w:themeColor="text1"/>
          <w:sz w:val="22"/>
          <w:szCs w:val="22"/>
        </w:rPr>
        <w:t xml:space="preserve">and identified </w:t>
      </w:r>
      <w:r w:rsidR="002A7C8A" w:rsidRPr="37A50968">
        <w:rPr>
          <w:rFonts w:ascii="Calibri" w:hAnsi="Calibri"/>
          <w:color w:val="000000" w:themeColor="text1"/>
          <w:sz w:val="22"/>
          <w:szCs w:val="22"/>
        </w:rPr>
        <w:t xml:space="preserve">for CMHRP </w:t>
      </w:r>
      <w:r w:rsidR="00CF65BA" w:rsidRPr="37A50968">
        <w:rPr>
          <w:rFonts w:ascii="Calibri" w:hAnsi="Calibri"/>
          <w:color w:val="000000" w:themeColor="text1"/>
          <w:sz w:val="22"/>
          <w:szCs w:val="22"/>
        </w:rPr>
        <w:t>Care Management Outreach</w:t>
      </w:r>
      <w:r w:rsidR="005861D3" w:rsidRPr="37A50968">
        <w:rPr>
          <w:rFonts w:ascii="Calibri" w:hAnsi="Calibri"/>
          <w:color w:val="000000" w:themeColor="text1"/>
          <w:sz w:val="22"/>
          <w:szCs w:val="22"/>
        </w:rPr>
        <w:t xml:space="preserve">. These should align with the beneficiaries BH I/DD TPs are sharing through the </w:t>
      </w:r>
      <w:r w:rsidR="001F4D42" w:rsidRPr="37A50968">
        <w:rPr>
          <w:rFonts w:ascii="Calibri" w:hAnsi="Calibri"/>
          <w:color w:val="000000" w:themeColor="text1"/>
          <w:sz w:val="22"/>
          <w:szCs w:val="22"/>
        </w:rPr>
        <w:t>B</w:t>
      </w:r>
      <w:r w:rsidR="005861D3" w:rsidRPr="37A50968">
        <w:rPr>
          <w:rFonts w:ascii="Calibri" w:hAnsi="Calibri"/>
          <w:color w:val="000000" w:themeColor="text1"/>
          <w:sz w:val="22"/>
          <w:szCs w:val="22"/>
        </w:rPr>
        <w:t xml:space="preserve">eneficiary </w:t>
      </w:r>
      <w:r w:rsidR="001F4D42" w:rsidRPr="37A50968">
        <w:rPr>
          <w:rFonts w:ascii="Calibri" w:hAnsi="Calibri"/>
          <w:color w:val="000000" w:themeColor="text1"/>
          <w:sz w:val="22"/>
          <w:szCs w:val="22"/>
        </w:rPr>
        <w:t>A</w:t>
      </w:r>
      <w:r w:rsidR="005861D3" w:rsidRPr="37A50968">
        <w:rPr>
          <w:rFonts w:ascii="Calibri" w:hAnsi="Calibri"/>
          <w:color w:val="000000" w:themeColor="text1"/>
          <w:sz w:val="22"/>
          <w:szCs w:val="22"/>
        </w:rPr>
        <w:t>ssignment file.</w:t>
      </w:r>
      <w:r w:rsidR="62EC798E" w:rsidRPr="37A50968">
        <w:rPr>
          <w:rFonts w:ascii="Calibri" w:hAnsi="Calibri"/>
          <w:color w:val="000000" w:themeColor="text1"/>
          <w:sz w:val="22"/>
          <w:szCs w:val="22"/>
        </w:rPr>
        <w:t xml:space="preserve"> BH I/DD TPs </w:t>
      </w:r>
      <w:r w:rsidR="29ACFAB5" w:rsidRPr="37A50968">
        <w:rPr>
          <w:rFonts w:ascii="Calibri" w:hAnsi="Calibri"/>
          <w:color w:val="000000" w:themeColor="text1"/>
          <w:sz w:val="22"/>
          <w:szCs w:val="22"/>
        </w:rPr>
        <w:t xml:space="preserve">will </w:t>
      </w:r>
      <w:r w:rsidR="62EC798E" w:rsidRPr="37A50968">
        <w:rPr>
          <w:rFonts w:ascii="Calibri" w:hAnsi="Calibri"/>
          <w:color w:val="000000" w:themeColor="text1"/>
          <w:sz w:val="22"/>
          <w:szCs w:val="22"/>
        </w:rPr>
        <w:t>only share Beneficiaries who are CMHRP eligible.</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2F542891" w14:textId="46F3015E" w:rsidR="00B57E0A" w:rsidRDefault="006075FA" w:rsidP="00421485">
      <w:pPr>
        <w:rPr>
          <w:rFonts w:ascii="Calibri" w:hAnsi="Calibri"/>
          <w:sz w:val="22"/>
          <w:szCs w:val="22"/>
        </w:rPr>
      </w:pPr>
      <w:r w:rsidRPr="008260EA">
        <w:rPr>
          <w:rFonts w:ascii="Calibri" w:hAnsi="Calibri"/>
          <w:b/>
          <w:sz w:val="22"/>
          <w:szCs w:val="22"/>
        </w:rPr>
        <w:t xml:space="preserve">File Type: </w:t>
      </w:r>
      <w:r w:rsidR="00B57E0A">
        <w:rPr>
          <w:rFonts w:ascii="Calibri" w:hAnsi="Calibri"/>
          <w:sz w:val="22"/>
          <w:szCs w:val="22"/>
        </w:rPr>
        <w:t xml:space="preserve">Please refer to the Patient List/Risk file type section of the </w:t>
      </w:r>
      <w:r w:rsidR="001F6CB8" w:rsidRPr="006645E9">
        <w:rPr>
          <w:rFonts w:ascii="Calibri" w:hAnsi="Calibri"/>
          <w:sz w:val="22"/>
          <w:szCs w:val="22"/>
        </w:rPr>
        <w:t>Data Specifications and Requirements for Sharing Patient Risk List Data</w:t>
      </w:r>
      <w:r w:rsidR="003B3C38">
        <w:rPr>
          <w:rFonts w:ascii="Calibri" w:hAnsi="Calibri"/>
          <w:sz w:val="22"/>
          <w:szCs w:val="22"/>
        </w:rPr>
        <w:t xml:space="preserve"> guidance document</w:t>
      </w:r>
      <w:r w:rsidR="001F6CB8">
        <w:rPr>
          <w:rFonts w:ascii="Calibri" w:hAnsi="Calibri"/>
          <w:sz w:val="22"/>
          <w:szCs w:val="22"/>
        </w:rPr>
        <w:t xml:space="preserve"> on the NC Medicaid </w:t>
      </w:r>
      <w:r w:rsidR="001C1659">
        <w:rPr>
          <w:rFonts w:ascii="Calibri" w:hAnsi="Calibri"/>
          <w:sz w:val="22"/>
          <w:szCs w:val="22"/>
        </w:rPr>
        <w:t>website</w:t>
      </w:r>
      <w:r w:rsidR="00B57E0A">
        <w:rPr>
          <w:rFonts w:ascii="Calibri" w:hAnsi="Calibri"/>
          <w:sz w:val="22"/>
          <w:szCs w:val="22"/>
        </w:rPr>
        <w:t xml:space="preserve"> – </w:t>
      </w:r>
      <w:hyperlink r:id="rId27" w:history="1">
        <w:r w:rsidR="00B57E0A" w:rsidRPr="00791D56">
          <w:rPr>
            <w:rStyle w:val="Hyperlink"/>
            <w:rFonts w:ascii="Calibri" w:hAnsi="Calibri"/>
            <w:sz w:val="22"/>
            <w:szCs w:val="22"/>
          </w:rPr>
          <w:t>Link</w:t>
        </w:r>
      </w:hyperlink>
      <w:r w:rsidR="00B57E0A">
        <w:rPr>
          <w:rFonts w:ascii="Calibri" w:hAnsi="Calibri"/>
          <w:sz w:val="22"/>
          <w:szCs w:val="22"/>
        </w:rPr>
        <w:t>.</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9" w:name="OLE_LINK3"/>
      <w:bookmarkStart w:id="20" w:name="OLE_LINK4"/>
      <w:r w:rsidRPr="37A50968">
        <w:rPr>
          <w:rFonts w:ascii="Calibri" w:hAnsi="Calibri"/>
          <w:b/>
          <w:bCs/>
          <w:sz w:val="22"/>
          <w:szCs w:val="22"/>
        </w:rPr>
        <w:t xml:space="preserve">File Delivery Frequency: </w:t>
      </w:r>
      <w:bookmarkEnd w:id="19"/>
      <w:bookmarkEnd w:id="20"/>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AE23CB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0946EAE"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lastRenderedPageBreak/>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8"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p w14:paraId="7B280C8A" w14:textId="77777777" w:rsidR="00AF0D7C" w:rsidRDefault="00AF0D7C" w:rsidP="00AF0D7C">
      <w:pPr>
        <w:rPr>
          <w:rFonts w:ascii="Calibri" w:hAnsi="Calibri"/>
          <w:b/>
          <w:bCs/>
          <w:i/>
          <w:iCs/>
          <w:color w:val="FF0000"/>
          <w:sz w:val="22"/>
          <w:szCs w:val="22"/>
        </w:rPr>
      </w:pPr>
      <w:r w:rsidRPr="00E43827">
        <w:rPr>
          <w:rFonts w:ascii="Calibri" w:hAnsi="Calibri"/>
          <w:b/>
          <w:strike/>
          <w:sz w:val="22"/>
          <w:szCs w:val="22"/>
          <w:u w:val="single"/>
        </w:rPr>
        <w:t>VI. Patient List/Risk Score File - LHD Care Management Data Platform to BH I/DD TPs</w:t>
      </w:r>
      <w:r>
        <w:rPr>
          <w:rFonts w:ascii="Calibri" w:hAnsi="Calibri"/>
          <w:b/>
          <w:sz w:val="22"/>
          <w:szCs w:val="22"/>
          <w:u w:val="single"/>
        </w:rPr>
        <w:t xml:space="preserve"> </w:t>
      </w:r>
      <w:r w:rsidRPr="0F3A67A5">
        <w:rPr>
          <w:rFonts w:ascii="Calibri" w:hAnsi="Calibri"/>
          <w:b/>
          <w:bCs/>
          <w:i/>
          <w:iCs/>
          <w:color w:val="FF0000"/>
          <w:sz w:val="22"/>
          <w:szCs w:val="22"/>
        </w:rPr>
        <w:t>This file will be replaced by CMHRP Interaction Level Report from LHD T</w:t>
      </w:r>
      <w:r>
        <w:rPr>
          <w:rFonts w:ascii="Calibri" w:hAnsi="Calibri"/>
          <w:b/>
          <w:bCs/>
          <w:i/>
          <w:iCs/>
          <w:color w:val="FF0000"/>
          <w:sz w:val="22"/>
          <w:szCs w:val="22"/>
        </w:rPr>
        <w:t xml:space="preserve">o BH I/DD TPs </w:t>
      </w:r>
      <w:r w:rsidRPr="0F3A67A5">
        <w:rPr>
          <w:rFonts w:ascii="Calibri" w:hAnsi="Calibri"/>
          <w:b/>
          <w:bCs/>
          <w:i/>
          <w:iCs/>
          <w:color w:val="FF0000"/>
          <w:sz w:val="22"/>
          <w:szCs w:val="22"/>
        </w:rPr>
        <w:t>and will no longer be required after interaction level report is operational.</w:t>
      </w:r>
    </w:p>
    <w:p w14:paraId="4A75F3C8" w14:textId="77777777" w:rsidR="00AF0D7C" w:rsidRPr="008260EA" w:rsidRDefault="00AF0D7C" w:rsidP="00AF0D7C">
      <w:pPr>
        <w:rPr>
          <w:rFonts w:ascii="Calibri" w:hAnsi="Calibri"/>
          <w:b/>
          <w:sz w:val="22"/>
          <w:szCs w:val="22"/>
          <w:u w:val="single"/>
        </w:rPr>
      </w:pPr>
    </w:p>
    <w:p w14:paraId="2A162962" w14:textId="77777777" w:rsidR="00AF0D7C" w:rsidRPr="00E43827" w:rsidRDefault="00AF0D7C" w:rsidP="00AF0D7C">
      <w:pPr>
        <w:rPr>
          <w:rFonts w:ascii="Calibri" w:hAnsi="Calibri"/>
          <w:b/>
          <w:bCs/>
          <w:strike/>
          <w:sz w:val="22"/>
          <w:szCs w:val="22"/>
        </w:rPr>
      </w:pPr>
      <w:r w:rsidRPr="00E43827">
        <w:rPr>
          <w:rFonts w:ascii="Calibri" w:hAnsi="Calibri"/>
          <w:b/>
          <w:bCs/>
          <w:strike/>
          <w:sz w:val="22"/>
          <w:szCs w:val="22"/>
        </w:rPr>
        <w:t xml:space="preserve">File Layout: </w:t>
      </w:r>
      <w:r w:rsidRPr="00E43827">
        <w:rPr>
          <w:rFonts w:ascii="Calibri" w:hAnsi="Calibri"/>
          <w:strike/>
          <w:sz w:val="22"/>
          <w:szCs w:val="22"/>
        </w:rPr>
        <w:t xml:space="preserve">To streamline information exchange, and reduce costs and administrative burden for all stakeholders, the Department has developed a flat file layout for sharing BH I/DD TP Patient List/Risk Score Data. The patient list/risk file layout for CMHRP program will match the patient list/risk standard layout that will be used to support Tailored Care Management. Please refer to the Patient List/Risk file layout in the Data Specifications and Requirements for Sharing Patient Risk List Data guidance document on the NC Medicaid website – </w:t>
      </w:r>
      <w:hyperlink r:id="rId29" w:history="1">
        <w:r w:rsidRPr="00E43827">
          <w:rPr>
            <w:rStyle w:val="Hyperlink"/>
            <w:rFonts w:ascii="Calibri" w:hAnsi="Calibri"/>
            <w:strike/>
            <w:sz w:val="22"/>
            <w:szCs w:val="22"/>
          </w:rPr>
          <w:t>Link</w:t>
        </w:r>
      </w:hyperlink>
      <w:r w:rsidRPr="00E43827">
        <w:rPr>
          <w:rFonts w:ascii="Calibri" w:hAnsi="Calibri"/>
          <w:strike/>
          <w:sz w:val="22"/>
          <w:szCs w:val="22"/>
        </w:rPr>
        <w:t>. Please review information where source is “AMH+ practices, CMAs and/or their affiliated Clinically Integrated Networks (CINs)” in the file layout (Columns G &amp; H), to understand the specific requirements related to the data that needs to be populated by LHD Care Management Data Platforms as these are the applicable fields.</w:t>
      </w:r>
    </w:p>
    <w:p w14:paraId="2F3E5365" w14:textId="77777777" w:rsidR="00AF0D7C" w:rsidRPr="00E43827" w:rsidRDefault="00AF0D7C" w:rsidP="00AF0D7C">
      <w:pPr>
        <w:rPr>
          <w:rFonts w:ascii="Calibri" w:hAnsi="Calibri"/>
          <w:b/>
          <w:strike/>
          <w:sz w:val="22"/>
          <w:szCs w:val="22"/>
        </w:rPr>
      </w:pPr>
    </w:p>
    <w:p w14:paraId="0512056A" w14:textId="77777777" w:rsidR="00AF0D7C" w:rsidRPr="00E43827" w:rsidRDefault="00AF0D7C" w:rsidP="00AF0D7C">
      <w:pPr>
        <w:rPr>
          <w:rFonts w:ascii="Calibri" w:hAnsi="Calibri"/>
          <w:strike/>
          <w:color w:val="000000"/>
          <w:sz w:val="22"/>
          <w:szCs w:val="22"/>
        </w:rPr>
      </w:pPr>
      <w:r w:rsidRPr="00E43827">
        <w:rPr>
          <w:rFonts w:ascii="Calibri" w:hAnsi="Calibri"/>
          <w:b/>
          <w:strike/>
          <w:sz w:val="22"/>
          <w:szCs w:val="22"/>
        </w:rPr>
        <w:t xml:space="preserve">File Data Scope: </w:t>
      </w:r>
      <w:r w:rsidRPr="00E43827">
        <w:rPr>
          <w:rFonts w:ascii="Calibri" w:hAnsi="Calibri"/>
          <w:strike/>
          <w:color w:val="000000"/>
          <w:sz w:val="22"/>
          <w:szCs w:val="22"/>
        </w:rPr>
        <w:t>Beneficiaries identified as high need and identified for CMHRP Care Management Outreach. These should align with the beneficiaries BH I/DD TPs are sharing through the Beneficiary Assignment file.</w:t>
      </w:r>
    </w:p>
    <w:p w14:paraId="1F665E12" w14:textId="77777777" w:rsidR="00AF0D7C" w:rsidRPr="00E43827" w:rsidRDefault="00AF0D7C" w:rsidP="00AF0D7C">
      <w:pPr>
        <w:rPr>
          <w:rFonts w:ascii="Calibri" w:hAnsi="Calibri"/>
          <w:b/>
          <w:strike/>
          <w:sz w:val="22"/>
          <w:szCs w:val="22"/>
        </w:rPr>
      </w:pPr>
    </w:p>
    <w:p w14:paraId="3533929C"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Source:</w:t>
      </w:r>
      <w:r w:rsidRPr="00E43827">
        <w:rPr>
          <w:rFonts w:ascii="Calibri" w:hAnsi="Calibri"/>
          <w:strike/>
          <w:sz w:val="22"/>
          <w:szCs w:val="22"/>
        </w:rPr>
        <w:t xml:space="preserve"> LHD Care Management Data Platform</w:t>
      </w:r>
    </w:p>
    <w:p w14:paraId="168C3BBF" w14:textId="77777777" w:rsidR="00AF0D7C" w:rsidRPr="00E43827" w:rsidRDefault="00AF0D7C" w:rsidP="00AF0D7C">
      <w:pPr>
        <w:rPr>
          <w:rFonts w:ascii="Calibri" w:hAnsi="Calibri"/>
          <w:strike/>
          <w:sz w:val="22"/>
          <w:szCs w:val="22"/>
        </w:rPr>
      </w:pPr>
    </w:p>
    <w:p w14:paraId="1CDCD665"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Target(s):</w:t>
      </w:r>
      <w:r w:rsidRPr="00E43827">
        <w:rPr>
          <w:rFonts w:ascii="Calibri" w:hAnsi="Calibri"/>
          <w:strike/>
          <w:sz w:val="22"/>
          <w:szCs w:val="22"/>
        </w:rPr>
        <w:t xml:space="preserve"> BH I/DD TPs</w:t>
      </w:r>
    </w:p>
    <w:p w14:paraId="5F19A985" w14:textId="77777777" w:rsidR="00AF0D7C" w:rsidRPr="00E43827" w:rsidRDefault="00AF0D7C" w:rsidP="00AF0D7C">
      <w:pPr>
        <w:rPr>
          <w:rFonts w:ascii="Calibri" w:hAnsi="Calibri"/>
          <w:strike/>
          <w:sz w:val="22"/>
          <w:szCs w:val="22"/>
        </w:rPr>
      </w:pPr>
    </w:p>
    <w:p w14:paraId="7689426F" w14:textId="77777777" w:rsidR="00AF0D7C" w:rsidRPr="00E43827" w:rsidRDefault="00AF0D7C" w:rsidP="00AF0D7C">
      <w:pPr>
        <w:rPr>
          <w:rFonts w:ascii="Calibri" w:hAnsi="Calibri"/>
          <w:b/>
          <w:strike/>
          <w:sz w:val="22"/>
          <w:szCs w:val="22"/>
        </w:rPr>
      </w:pPr>
      <w:r w:rsidRPr="00E43827">
        <w:rPr>
          <w:rFonts w:ascii="Calibri" w:hAnsi="Calibri"/>
          <w:b/>
          <w:strike/>
          <w:sz w:val="22"/>
          <w:szCs w:val="22"/>
        </w:rPr>
        <w:t xml:space="preserve">File Type: </w:t>
      </w:r>
      <w:r w:rsidRPr="00E43827">
        <w:rPr>
          <w:rFonts w:ascii="Calibri" w:hAnsi="Calibri"/>
          <w:strike/>
          <w:sz w:val="22"/>
          <w:szCs w:val="22"/>
        </w:rPr>
        <w:t xml:space="preserve">Please refer to the Patient List/Risk file type section of the Data Specifications and Requirements for Sharing Patient Risk List Data guidance document on the NC Medicaid website – </w:t>
      </w:r>
      <w:hyperlink r:id="rId30" w:history="1">
        <w:r w:rsidRPr="00E43827">
          <w:rPr>
            <w:rStyle w:val="Hyperlink"/>
            <w:rFonts w:ascii="Calibri" w:hAnsi="Calibri"/>
            <w:strike/>
            <w:sz w:val="22"/>
            <w:szCs w:val="22"/>
          </w:rPr>
          <w:t>Link</w:t>
        </w:r>
      </w:hyperlink>
      <w:r w:rsidRPr="00E43827">
        <w:rPr>
          <w:rFonts w:ascii="Calibri" w:hAnsi="Calibri"/>
          <w:strike/>
          <w:sz w:val="22"/>
          <w:szCs w:val="22"/>
        </w:rPr>
        <w:t xml:space="preserve">. </w:t>
      </w:r>
    </w:p>
    <w:p w14:paraId="0AC6847A" w14:textId="77777777" w:rsidR="00AF0D7C" w:rsidRPr="00E43827" w:rsidRDefault="00AF0D7C" w:rsidP="00AF0D7C">
      <w:pPr>
        <w:rPr>
          <w:rFonts w:ascii="Calibri" w:hAnsi="Calibri"/>
          <w:b/>
          <w:strike/>
          <w:sz w:val="22"/>
          <w:szCs w:val="22"/>
        </w:rPr>
      </w:pPr>
    </w:p>
    <w:p w14:paraId="7CD50260"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Transmission Type:</w:t>
      </w:r>
      <w:r w:rsidRPr="00E43827">
        <w:rPr>
          <w:rFonts w:ascii="Calibri" w:hAnsi="Calibri"/>
          <w:strike/>
          <w:sz w:val="22"/>
          <w:szCs w:val="22"/>
        </w:rPr>
        <w:t xml:space="preserve"> </w:t>
      </w:r>
      <w:proofErr w:type="spellStart"/>
      <w:r w:rsidRPr="00E43827">
        <w:rPr>
          <w:rFonts w:ascii="Calibri" w:hAnsi="Calibri"/>
          <w:strike/>
          <w:sz w:val="22"/>
          <w:szCs w:val="22"/>
        </w:rPr>
        <w:t>sFTP</w:t>
      </w:r>
      <w:proofErr w:type="spellEnd"/>
      <w:r w:rsidRPr="00E43827">
        <w:rPr>
          <w:rFonts w:ascii="Calibri" w:hAnsi="Calibri"/>
          <w:strike/>
          <w:sz w:val="22"/>
          <w:szCs w:val="22"/>
        </w:rPr>
        <w:t>. Source and Target entities should work together to establish file exchange through secure file transfer protocol.</w:t>
      </w:r>
    </w:p>
    <w:p w14:paraId="12C916B6" w14:textId="77777777" w:rsidR="00AF0D7C" w:rsidRPr="00E43827" w:rsidRDefault="00AF0D7C" w:rsidP="00AF0D7C">
      <w:pPr>
        <w:rPr>
          <w:rFonts w:ascii="Calibri" w:hAnsi="Calibri"/>
          <w:strike/>
          <w:sz w:val="22"/>
          <w:szCs w:val="22"/>
        </w:rPr>
      </w:pPr>
    </w:p>
    <w:p w14:paraId="47790514"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 xml:space="preserve">File Delivery Frequency: </w:t>
      </w:r>
      <w:r w:rsidRPr="00E43827">
        <w:rPr>
          <w:rFonts w:ascii="Calibri" w:hAnsi="Calibri"/>
          <w:strike/>
          <w:sz w:val="22"/>
          <w:szCs w:val="22"/>
        </w:rPr>
        <w:t>Weekly</w:t>
      </w:r>
      <w:r w:rsidRPr="00E43827">
        <w:rPr>
          <w:rFonts w:ascii="Calibri" w:hAnsi="Calibri"/>
          <w:strike/>
          <w:color w:val="000000" w:themeColor="text1"/>
          <w:sz w:val="22"/>
          <w:szCs w:val="22"/>
        </w:rPr>
        <w:t>. Weekly full files should be sent every Friday between 8:00 AM and 10:00 PM.</w:t>
      </w:r>
    </w:p>
    <w:p w14:paraId="08C4BC9E" w14:textId="77777777" w:rsidR="00AF0D7C" w:rsidRPr="00E43827" w:rsidRDefault="00AF0D7C" w:rsidP="00AF0D7C">
      <w:pPr>
        <w:rPr>
          <w:rFonts w:ascii="Calibri" w:hAnsi="Calibri"/>
          <w:strike/>
          <w:sz w:val="22"/>
          <w:szCs w:val="22"/>
        </w:rPr>
      </w:pPr>
    </w:p>
    <w:p w14:paraId="7E849F89" w14:textId="77777777" w:rsidR="00AF0D7C" w:rsidRPr="00E43827" w:rsidRDefault="00AF0D7C" w:rsidP="00AF0D7C">
      <w:pPr>
        <w:rPr>
          <w:rFonts w:ascii="Calibri" w:hAnsi="Calibri"/>
          <w:b/>
          <w:strike/>
          <w:sz w:val="22"/>
          <w:szCs w:val="22"/>
        </w:rPr>
      </w:pPr>
      <w:r w:rsidRPr="00E43827">
        <w:rPr>
          <w:rFonts w:ascii="Calibri" w:hAnsi="Calibri"/>
          <w:b/>
          <w:strike/>
          <w:sz w:val="22"/>
          <w:szCs w:val="22"/>
        </w:rPr>
        <w:t xml:space="preserve">File Naming Convention: </w:t>
      </w:r>
      <w:r w:rsidRPr="00E43827">
        <w:rPr>
          <w:rFonts w:ascii="Calibri" w:hAnsi="Calibri"/>
          <w:strike/>
          <w:sz w:val="22"/>
          <w:szCs w:val="22"/>
        </w:rPr>
        <w:t>LHDs are expected to follow the below file naming conventions.</w:t>
      </w:r>
    </w:p>
    <w:p w14:paraId="40E93611" w14:textId="77777777" w:rsidR="00AF0D7C" w:rsidRPr="00E43827" w:rsidRDefault="00AF0D7C" w:rsidP="00AF0D7C">
      <w:pPr>
        <w:rPr>
          <w:rFonts w:ascii="Calibri" w:hAnsi="Calibri"/>
          <w:b/>
          <w:strike/>
          <w:sz w:val="22"/>
          <w:szCs w:val="22"/>
        </w:rPr>
      </w:pPr>
      <w:r w:rsidRPr="00E43827">
        <w:rPr>
          <w:rFonts w:ascii="Calibri" w:hAnsi="Calibri"/>
          <w:strike/>
          <w:sz w:val="22"/>
          <w:szCs w:val="22"/>
        </w:rPr>
        <w:t>NCMT_LHD_PatientListRiskScore_&lt;LHD&gt;_&lt;TPShortName&gt;_&lt;CCYYMMDD-HHMMSS.TXT</w:t>
      </w:r>
    </w:p>
    <w:p w14:paraId="4DCC0836" w14:textId="77777777" w:rsidR="00AF0D7C" w:rsidRPr="00E43827" w:rsidRDefault="00AF0D7C" w:rsidP="00AF0D7C">
      <w:pPr>
        <w:rPr>
          <w:rFonts w:ascii="Calibri" w:hAnsi="Calibri"/>
          <w:strike/>
          <w:sz w:val="22"/>
          <w:szCs w:val="22"/>
        </w:rPr>
      </w:pPr>
    </w:p>
    <w:p w14:paraId="2763D7E2" w14:textId="77777777" w:rsidR="00AF0D7C" w:rsidRPr="00E43827" w:rsidRDefault="00AF0D7C" w:rsidP="00AF0D7C">
      <w:pPr>
        <w:rPr>
          <w:rFonts w:ascii="Calibri" w:hAnsi="Calibri"/>
          <w:strike/>
          <w:sz w:val="22"/>
          <w:szCs w:val="22"/>
        </w:rPr>
      </w:pPr>
      <w:r w:rsidRPr="00E43827">
        <w:rPr>
          <w:rFonts w:ascii="Calibri" w:hAnsi="Calibri"/>
          <w:strike/>
          <w:sz w:val="22"/>
          <w:szCs w:val="22"/>
        </w:rPr>
        <w:t>Below are the short names for each TP, use these for &lt;</w:t>
      </w:r>
      <w:proofErr w:type="spellStart"/>
      <w:r w:rsidRPr="00E43827">
        <w:rPr>
          <w:rFonts w:ascii="Calibri" w:hAnsi="Calibri"/>
          <w:strike/>
          <w:sz w:val="22"/>
          <w:szCs w:val="22"/>
        </w:rPr>
        <w:t>TPShortName</w:t>
      </w:r>
      <w:proofErr w:type="spellEnd"/>
      <w:r w:rsidRPr="00E43827">
        <w:rPr>
          <w:rFonts w:ascii="Calibri" w:hAnsi="Calibri"/>
          <w:strike/>
          <w:sz w:val="22"/>
          <w:szCs w:val="22"/>
        </w:rPr>
        <w:t>&gt;:</w:t>
      </w:r>
    </w:p>
    <w:p w14:paraId="3C5DD1E4"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Alliance Health = ALLT</w:t>
      </w:r>
    </w:p>
    <w:p w14:paraId="7649FB08"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Eastpointe = EAST</w:t>
      </w:r>
    </w:p>
    <w:p w14:paraId="0F304EA1"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Partners Health Management = PART</w:t>
      </w:r>
    </w:p>
    <w:p w14:paraId="4B453F8B"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Sandhills Center = SANT</w:t>
      </w:r>
    </w:p>
    <w:p w14:paraId="3AA39528"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lastRenderedPageBreak/>
        <w:t>•</w:t>
      </w:r>
      <w:r w:rsidRPr="00E43827">
        <w:rPr>
          <w:rFonts w:ascii="Calibri" w:hAnsi="Calibri"/>
          <w:strike/>
          <w:sz w:val="22"/>
          <w:szCs w:val="22"/>
        </w:rPr>
        <w:tab/>
        <w:t>Trillium Health Resources = TRIT</w:t>
      </w:r>
    </w:p>
    <w:p w14:paraId="309DFB52"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Vaya Health = VAYT</w:t>
      </w:r>
    </w:p>
    <w:p w14:paraId="37BF3FD2" w14:textId="77777777" w:rsidR="00AF0D7C" w:rsidRPr="00E43827" w:rsidRDefault="00AF0D7C" w:rsidP="00AF0D7C">
      <w:pPr>
        <w:rPr>
          <w:rFonts w:ascii="Calibri" w:hAnsi="Calibri"/>
          <w:strike/>
          <w:sz w:val="22"/>
          <w:szCs w:val="22"/>
        </w:rPr>
      </w:pPr>
    </w:p>
    <w:p w14:paraId="3F003C9F" w14:textId="77777777" w:rsidR="00AF0D7C" w:rsidRPr="00E43827" w:rsidRDefault="00AF0D7C" w:rsidP="00AF0D7C">
      <w:pPr>
        <w:rPr>
          <w:rFonts w:ascii="Calibri" w:hAnsi="Calibri"/>
          <w:strike/>
          <w:sz w:val="22"/>
          <w:szCs w:val="22"/>
        </w:rPr>
      </w:pPr>
      <w:r w:rsidRPr="00E43827">
        <w:rPr>
          <w:rFonts w:ascii="Calibri" w:hAnsi="Calibri"/>
          <w:strike/>
          <w:sz w:val="22"/>
          <w:szCs w:val="22"/>
        </w:rPr>
        <w:t>For &lt; LHD&gt;, BH I/DD TPs should work with the LHD vendors to align on a unique name/identifier that they can use.</w:t>
      </w:r>
    </w:p>
    <w:p w14:paraId="072277BB" w14:textId="77777777" w:rsidR="00AF0D7C" w:rsidRPr="00E43827" w:rsidRDefault="00AF0D7C" w:rsidP="00AF0D7C">
      <w:pPr>
        <w:rPr>
          <w:rFonts w:ascii="Calibri" w:hAnsi="Calibri"/>
          <w:strike/>
          <w:sz w:val="22"/>
          <w:szCs w:val="22"/>
        </w:rPr>
      </w:pPr>
    </w:p>
    <w:p w14:paraId="5057FDDA"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Delivery, Acceptance &amp; Processing Validation:</w:t>
      </w:r>
      <w:r w:rsidRPr="00E43827">
        <w:rPr>
          <w:rFonts w:ascii="Calibri" w:hAnsi="Calibri"/>
          <w:strike/>
          <w:sz w:val="22"/>
          <w:szCs w:val="22"/>
        </w:rPr>
        <w:t xml:space="preserve"> 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AB26185" w14:textId="77777777" w:rsidR="00AF0D7C" w:rsidRPr="00E43827" w:rsidRDefault="00AF0D7C" w:rsidP="00AF0D7C">
      <w:pPr>
        <w:rPr>
          <w:rFonts w:ascii="Calibri" w:hAnsi="Calibri"/>
          <w:strike/>
          <w:sz w:val="22"/>
          <w:szCs w:val="22"/>
        </w:rPr>
      </w:pPr>
    </w:p>
    <w:p w14:paraId="0854168B"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 xml:space="preserve">Data Guidance: </w:t>
      </w:r>
      <w:r w:rsidRPr="00E43827">
        <w:rPr>
          <w:rFonts w:ascii="Calibri" w:hAnsi="Calibri"/>
          <w:strike/>
          <w:sz w:val="22"/>
          <w:szCs w:val="22"/>
        </w:rPr>
        <w:t xml:space="preserve">Please refer to the Patient List/Risk file Data &amp; Additional Guidance sections of the Data Specifications and Requirements for Sharing Patient Risk List Data guidance document on the NC Medicaid website – </w:t>
      </w:r>
      <w:hyperlink r:id="rId31" w:history="1">
        <w:r w:rsidRPr="00E43827">
          <w:rPr>
            <w:rStyle w:val="Hyperlink"/>
            <w:rFonts w:ascii="Calibri" w:hAnsi="Calibri"/>
            <w:strike/>
            <w:sz w:val="22"/>
            <w:szCs w:val="22"/>
          </w:rPr>
          <w:t>Link</w:t>
        </w:r>
      </w:hyperlink>
      <w:r w:rsidRPr="00E43827">
        <w:rPr>
          <w:rFonts w:ascii="Calibri" w:hAnsi="Calibri"/>
          <w:strike/>
          <w:sz w:val="22"/>
          <w:szCs w:val="22"/>
        </w:rPr>
        <w:t>.</w:t>
      </w:r>
    </w:p>
    <w:p w14:paraId="1CF18334" w14:textId="77777777" w:rsidR="00AF0D7C" w:rsidRPr="00E43827" w:rsidRDefault="00AF0D7C" w:rsidP="00AF0D7C">
      <w:pPr>
        <w:rPr>
          <w:rFonts w:ascii="Calibri" w:hAnsi="Calibri"/>
          <w:strike/>
          <w:sz w:val="22"/>
          <w:szCs w:val="22"/>
        </w:rPr>
      </w:pPr>
    </w:p>
    <w:p w14:paraId="784317E9"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LHD Care Management Data Platform Integration &amp; Testing</w:t>
      </w:r>
      <w:r w:rsidRPr="00E43827">
        <w:rPr>
          <w:rFonts w:ascii="Calibri" w:hAnsi="Calibri"/>
          <w:b/>
          <w:strike/>
          <w:sz w:val="22"/>
          <w:szCs w:val="22"/>
        </w:rPr>
        <w:t xml:space="preserve">: </w:t>
      </w:r>
      <w:r w:rsidRPr="00E43827">
        <w:rPr>
          <w:rFonts w:ascii="Calibri" w:hAnsi="Calibri"/>
          <w:strike/>
          <w:sz w:val="22"/>
          <w:szCs w:val="22"/>
        </w:rPr>
        <w:t>The Department expects BH I/DD TPs to work with the LHD Care Management Data Platform Vendor and to successfully implement and test this interface per the implementation timeline and requirements provided by the Department.</w:t>
      </w:r>
    </w:p>
    <w:p w14:paraId="1B273933" w14:textId="77777777" w:rsidR="00F1291E" w:rsidRPr="005307B4" w:rsidRDefault="00F1291E" w:rsidP="00391DAE">
      <w:pPr>
        <w:rPr>
          <w:rFonts w:ascii="Calibri" w:hAnsi="Calibri"/>
          <w:sz w:val="22"/>
          <w:szCs w:val="22"/>
        </w:rPr>
      </w:pPr>
    </w:p>
    <w:bookmarkEnd w:id="14"/>
    <w:p w14:paraId="3132FA11" w14:textId="5EC59E08" w:rsidR="00422855" w:rsidRPr="005307B4" w:rsidRDefault="002A1781" w:rsidP="0092576A">
      <w:pPr>
        <w:rPr>
          <w:rFonts w:ascii="Calibri" w:hAnsi="Calibri"/>
          <w:sz w:val="22"/>
          <w:szCs w:val="22"/>
        </w:rPr>
      </w:pPr>
      <w:r w:rsidRPr="7647A1F1">
        <w:rPr>
          <w:rFonts w:ascii="Calibri" w:hAnsi="Calibri"/>
          <w:b/>
          <w:bCs/>
          <w:sz w:val="22"/>
          <w:szCs w:val="22"/>
          <w:u w:val="single"/>
        </w:rPr>
        <w:t xml:space="preserve">VII. </w:t>
      </w:r>
      <w:bookmarkStart w:id="21" w:name="_Hlk55830330"/>
      <w:r w:rsidR="005456D6" w:rsidRPr="7647A1F1">
        <w:rPr>
          <w:rFonts w:ascii="Calibri" w:hAnsi="Calibri"/>
          <w:b/>
          <w:bCs/>
          <w:sz w:val="22"/>
          <w:szCs w:val="22"/>
          <w:u w:val="single"/>
        </w:rPr>
        <w:t>CMHRP Daily Member Report</w:t>
      </w:r>
      <w:r w:rsidR="0021680F" w:rsidRPr="7647A1F1">
        <w:rPr>
          <w:rFonts w:ascii="Calibri" w:hAnsi="Calibri"/>
          <w:b/>
          <w:bCs/>
          <w:sz w:val="22"/>
          <w:szCs w:val="22"/>
          <w:u w:val="single"/>
        </w:rPr>
        <w:t xml:space="preserve"> Files</w:t>
      </w:r>
      <w:r>
        <w:br/>
      </w:r>
    </w:p>
    <w:bookmarkEnd w:id="21"/>
    <w:p w14:paraId="02D4BDF5" w14:textId="5AC31DE0" w:rsidR="00AF0168" w:rsidRPr="005307B4" w:rsidRDefault="00422855" w:rsidP="00422855">
      <w:pPr>
        <w:rPr>
          <w:rFonts w:ascii="Calibri" w:hAnsi="Calibri"/>
          <w:sz w:val="22"/>
          <w:szCs w:val="22"/>
        </w:rPr>
      </w:pPr>
      <w:r w:rsidRPr="005307B4">
        <w:rPr>
          <w:rFonts w:ascii="Calibri" w:hAnsi="Calibri"/>
          <w:b/>
          <w:bCs/>
          <w:sz w:val="22"/>
          <w:szCs w:val="22"/>
        </w:rPr>
        <w:t xml:space="preserve">File Layout: </w:t>
      </w:r>
      <w:r w:rsidRPr="005307B4">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005307B4">
        <w:rPr>
          <w:rFonts w:ascii="Calibri" w:hAnsi="Calibri"/>
          <w:sz w:val="22"/>
          <w:szCs w:val="22"/>
        </w:rPr>
        <w:t xml:space="preserve">CMHRP </w:t>
      </w:r>
      <w:r w:rsidR="000B6AA5" w:rsidRPr="005307B4">
        <w:rPr>
          <w:rFonts w:ascii="Calibri" w:hAnsi="Calibri"/>
          <w:sz w:val="22"/>
          <w:szCs w:val="22"/>
        </w:rPr>
        <w:t>Daily Member Report</w:t>
      </w:r>
      <w:r w:rsidRPr="005307B4">
        <w:rPr>
          <w:rFonts w:ascii="Calibri" w:hAnsi="Calibri"/>
          <w:sz w:val="22"/>
          <w:szCs w:val="22"/>
        </w:rPr>
        <w:t xml:space="preserve">. </w:t>
      </w:r>
      <w:r w:rsidR="00820491" w:rsidRPr="005307B4">
        <w:rPr>
          <w:rFonts w:ascii="Calibri" w:hAnsi="Calibri"/>
          <w:sz w:val="22"/>
          <w:szCs w:val="22"/>
        </w:rPr>
        <w:t xml:space="preserve">The </w:t>
      </w:r>
      <w:r w:rsidR="00C65D56" w:rsidRPr="005307B4">
        <w:rPr>
          <w:rFonts w:ascii="Calibri" w:hAnsi="Calibri"/>
          <w:sz w:val="22"/>
          <w:szCs w:val="22"/>
        </w:rPr>
        <w:t>CMHRP Daily Member Report file layout is attached to this document.</w:t>
      </w:r>
    </w:p>
    <w:p w14:paraId="6FEC0FF8" w14:textId="77777777" w:rsidR="00B1676A" w:rsidRDefault="00B1676A" w:rsidP="00CD7149">
      <w:pPr>
        <w:jc w:val="center"/>
        <w:rPr>
          <w:rFonts w:ascii="Calibri" w:hAnsi="Calibri"/>
          <w:sz w:val="22"/>
          <w:szCs w:val="22"/>
        </w:rPr>
      </w:pPr>
    </w:p>
    <w:bookmarkStart w:id="22" w:name="_MON_1677067767"/>
    <w:bookmarkEnd w:id="22"/>
    <w:p w14:paraId="1B99FBCB" w14:textId="4335E4D2" w:rsidR="00422855" w:rsidRDefault="00B20594" w:rsidP="00CD7149">
      <w:pPr>
        <w:jc w:val="center"/>
        <w:rPr>
          <w:rFonts w:ascii="Calibri" w:hAnsi="Calibri"/>
          <w:sz w:val="22"/>
          <w:szCs w:val="22"/>
        </w:rPr>
      </w:pPr>
      <w:r>
        <w:rPr>
          <w:rFonts w:ascii="Calibri" w:hAnsi="Calibri"/>
          <w:sz w:val="22"/>
          <w:szCs w:val="22"/>
        </w:rPr>
        <w:object w:dxaOrig="1376" w:dyaOrig="893" w14:anchorId="175C7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5.5pt" o:ole="">
            <v:imagedata r:id="rId32" o:title=""/>
          </v:shape>
          <o:OLEObject Type="Embed" ProgID="Excel.Sheet.12" ShapeID="_x0000_i1025" DrawAspect="Icon" ObjectID="_1736856984" r:id="rId33"/>
        </w:object>
      </w:r>
    </w:p>
    <w:p w14:paraId="5E5AF88D" w14:textId="77777777" w:rsidR="00CD7149" w:rsidRPr="008260EA" w:rsidRDefault="00CD7149" w:rsidP="00422855">
      <w:pPr>
        <w:rPr>
          <w:rFonts w:ascii="Calibri" w:hAnsi="Calibri"/>
          <w:b/>
          <w:bCs/>
          <w:sz w:val="22"/>
          <w:szCs w:val="22"/>
        </w:rPr>
      </w:pPr>
    </w:p>
    <w:p w14:paraId="7D5D63B9" w14:textId="6B5C4070" w:rsidR="00422855" w:rsidRPr="008260EA" w:rsidRDefault="00B71F94" w:rsidP="00422855">
      <w:pPr>
        <w:rPr>
          <w:rFonts w:ascii="Calibri" w:hAnsi="Calibri"/>
          <w:sz w:val="22"/>
          <w:szCs w:val="22"/>
        </w:rPr>
      </w:pPr>
      <w:r>
        <w:rPr>
          <w:rFonts w:ascii="Calibri" w:hAnsi="Calibri"/>
          <w:b/>
          <w:sz w:val="22"/>
          <w:szCs w:val="22"/>
        </w:rPr>
        <w:t xml:space="preserve">File </w:t>
      </w:r>
      <w:r w:rsidR="00422855" w:rsidRPr="008260EA">
        <w:rPr>
          <w:rFonts w:ascii="Calibri" w:hAnsi="Calibri"/>
          <w:b/>
          <w:sz w:val="22"/>
          <w:szCs w:val="22"/>
        </w:rPr>
        <w:t>Data Scope:</w:t>
      </w:r>
      <w:r w:rsidR="00422855" w:rsidRPr="008260EA">
        <w:rPr>
          <w:rFonts w:ascii="Calibri" w:hAnsi="Calibri"/>
          <w:sz w:val="22"/>
          <w:szCs w:val="22"/>
        </w:rPr>
        <w:t xml:space="preserve"> </w:t>
      </w:r>
      <w:r w:rsidR="00DA0B2D" w:rsidRPr="008260EA">
        <w:rPr>
          <w:rFonts w:ascii="Calibri" w:hAnsi="Calibri"/>
          <w:sz w:val="22"/>
          <w:szCs w:val="22"/>
        </w:rPr>
        <w:t>Patient Referral information.</w:t>
      </w:r>
      <w:r w:rsidR="00681E42">
        <w:rPr>
          <w:rFonts w:ascii="Calibri" w:hAnsi="Calibri"/>
          <w:sz w:val="22"/>
          <w:szCs w:val="22"/>
        </w:rPr>
        <w:t xml:space="preserve"> CMHRP Daily Member Report should include all CMHRP members </w:t>
      </w:r>
      <w:r w:rsidR="005B0AD5">
        <w:rPr>
          <w:rFonts w:ascii="Calibri" w:hAnsi="Calibri"/>
          <w:sz w:val="22"/>
          <w:szCs w:val="22"/>
        </w:rPr>
        <w:t>whether</w:t>
      </w:r>
      <w:r w:rsidR="00681E42">
        <w:rPr>
          <w:rFonts w:ascii="Calibri" w:hAnsi="Calibri"/>
          <w:sz w:val="22"/>
          <w:szCs w:val="22"/>
        </w:rPr>
        <w:t xml:space="preserve"> they were </w:t>
      </w:r>
      <w:r w:rsidR="0057389B">
        <w:rPr>
          <w:rFonts w:ascii="Calibri" w:hAnsi="Calibri"/>
          <w:sz w:val="22"/>
          <w:szCs w:val="22"/>
        </w:rPr>
        <w:t>a referral</w:t>
      </w:r>
      <w:r w:rsidR="00681E42">
        <w:rPr>
          <w:rFonts w:ascii="Calibri" w:hAnsi="Calibri"/>
          <w:sz w:val="22"/>
          <w:szCs w:val="22"/>
        </w:rPr>
        <w:t xml:space="preserve"> from a BH I/DD TP</w:t>
      </w:r>
      <w:r w:rsidR="005B0AD5">
        <w:rPr>
          <w:rFonts w:ascii="Calibri" w:hAnsi="Calibri"/>
          <w:sz w:val="22"/>
          <w:szCs w:val="22"/>
        </w:rPr>
        <w:t xml:space="preserve"> or not</w:t>
      </w:r>
      <w:r w:rsidR="00681E42">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3779CF14" w:rsidR="00982AB9" w:rsidRPr="002258DE" w:rsidRDefault="00422855" w:rsidP="003920CE">
      <w:pPr>
        <w:autoSpaceDE w:val="0"/>
        <w:autoSpaceDN w:val="0"/>
        <w:rPr>
          <w:rFonts w:ascii="Calibri" w:hAnsi="Calibri"/>
          <w:sz w:val="22"/>
          <w:szCs w:val="22"/>
        </w:rPr>
      </w:pPr>
      <w:r w:rsidRPr="37A50968">
        <w:rPr>
          <w:rFonts w:ascii="Calibri" w:hAnsi="Calibri"/>
          <w:b/>
          <w:bCs/>
          <w:sz w:val="22"/>
          <w:szCs w:val="22"/>
        </w:rPr>
        <w:t xml:space="preserve">File Delivery Frequency: </w:t>
      </w:r>
      <w:r w:rsidR="3BEB407E" w:rsidRPr="37A50968">
        <w:rPr>
          <w:rFonts w:ascii="Calibri" w:hAnsi="Calibri"/>
          <w:sz w:val="22"/>
          <w:szCs w:val="22"/>
        </w:rPr>
        <w:t>D</w:t>
      </w:r>
      <w:r w:rsidR="004A53CE" w:rsidRPr="37A50968">
        <w:rPr>
          <w:rFonts w:ascii="Calibri" w:hAnsi="Calibri"/>
          <w:sz w:val="22"/>
          <w:szCs w:val="22"/>
        </w:rPr>
        <w:t xml:space="preserve">aily. </w:t>
      </w:r>
      <w:r w:rsidR="00F152E6" w:rsidRPr="37A50968">
        <w:rPr>
          <w:rFonts w:ascii="Calibri" w:hAnsi="Calibri"/>
          <w:sz w:val="22"/>
          <w:szCs w:val="22"/>
        </w:rPr>
        <w:t>1</w:t>
      </w:r>
      <w:r w:rsidR="00F152E6" w:rsidRPr="37A50968">
        <w:rPr>
          <w:rFonts w:ascii="Calibri" w:hAnsi="Calibri"/>
          <w:sz w:val="22"/>
          <w:szCs w:val="22"/>
          <w:vertAlign w:val="superscript"/>
        </w:rPr>
        <w:t>st</w:t>
      </w:r>
      <w:r w:rsidR="00F152E6" w:rsidRPr="37A50968">
        <w:rPr>
          <w:rFonts w:ascii="Calibri" w:hAnsi="Calibri"/>
          <w:sz w:val="22"/>
          <w:szCs w:val="22"/>
        </w:rPr>
        <w:t xml:space="preserve"> f</w:t>
      </w:r>
      <w:r w:rsidR="004A53CE" w:rsidRPr="37A50968">
        <w:rPr>
          <w:rFonts w:ascii="Calibri" w:hAnsi="Calibri"/>
          <w:sz w:val="22"/>
          <w:szCs w:val="22"/>
        </w:rPr>
        <w:t xml:space="preserve">ull file followed by </w:t>
      </w:r>
      <w:r w:rsidR="003C61D3" w:rsidRPr="37A50968">
        <w:rPr>
          <w:rFonts w:ascii="Calibri" w:hAnsi="Calibri"/>
          <w:sz w:val="22"/>
          <w:szCs w:val="22"/>
        </w:rPr>
        <w:t xml:space="preserve">daily </w:t>
      </w:r>
      <w:r w:rsidR="004A53CE" w:rsidRPr="37A50968">
        <w:rPr>
          <w:rFonts w:ascii="Calibri" w:hAnsi="Calibri"/>
          <w:sz w:val="22"/>
          <w:szCs w:val="22"/>
        </w:rPr>
        <w:t>incremental files</w:t>
      </w:r>
      <w:r w:rsidR="003C61D3" w:rsidRPr="37A50968">
        <w:rPr>
          <w:rFonts w:ascii="Calibri" w:hAnsi="Calibri"/>
          <w:sz w:val="22"/>
          <w:szCs w:val="22"/>
        </w:rPr>
        <w:t xml:space="preserve"> between </w:t>
      </w:r>
      <w:r w:rsidR="00061A73" w:rsidRPr="37A50968">
        <w:rPr>
          <w:rFonts w:asciiTheme="minorHAnsi" w:hAnsiTheme="minorHAnsi" w:cstheme="minorBidi"/>
          <w:sz w:val="22"/>
          <w:szCs w:val="22"/>
        </w:rPr>
        <w:t>8:00 PM and 11:59 PM</w:t>
      </w:r>
      <w:r w:rsidR="004A53CE" w:rsidRPr="37A50968">
        <w:rPr>
          <w:rFonts w:ascii="Calibri" w:hAnsi="Calibri"/>
          <w:sz w:val="22"/>
          <w:szCs w:val="22"/>
        </w:rPr>
        <w:t>.</w:t>
      </w:r>
      <w:r w:rsidR="00B6046E">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637DADAE" w:rsidR="006E356A" w:rsidRPr="00B05B15" w:rsidRDefault="005B362E" w:rsidP="00B05B15">
      <w:pPr>
        <w:rPr>
          <w:rFonts w:ascii="Calibri" w:hAnsi="Calibri"/>
          <w:sz w:val="22"/>
          <w:szCs w:val="22"/>
        </w:rPr>
      </w:pPr>
      <w:proofErr w:type="spellStart"/>
      <w:r w:rsidRPr="00B05B15">
        <w:rPr>
          <w:rFonts w:ascii="Calibri" w:hAnsi="Calibri"/>
          <w:sz w:val="22"/>
          <w:szCs w:val="22"/>
        </w:rPr>
        <w:t>NCMT_</w:t>
      </w:r>
      <w:r w:rsidR="003543C6" w:rsidRPr="00B05B15">
        <w:rPr>
          <w:rFonts w:ascii="Calibri" w:hAnsi="Calibri"/>
          <w:sz w:val="22"/>
          <w:szCs w:val="22"/>
        </w:rPr>
        <w:t>LHD</w:t>
      </w:r>
      <w:r w:rsidRPr="00B05B15">
        <w:rPr>
          <w:rFonts w:ascii="Calibri" w:hAnsi="Calibri"/>
          <w:sz w:val="22"/>
          <w:szCs w:val="22"/>
        </w:rPr>
        <w:t>_CMHRPDailyMemberReport</w:t>
      </w:r>
      <w:proofErr w:type="spellEnd"/>
      <w:r w:rsidR="00982AB9" w:rsidRPr="00B05B15">
        <w:rPr>
          <w:rFonts w:ascii="Calibri" w:hAnsi="Calibri"/>
          <w:sz w:val="22"/>
          <w:szCs w:val="22"/>
        </w:rPr>
        <w:t>_</w:t>
      </w:r>
      <w:r w:rsidR="00841A21" w:rsidRPr="00B05B15">
        <w:rPr>
          <w:rFonts w:ascii="Calibri" w:hAnsi="Calibri"/>
          <w:sz w:val="22"/>
          <w:szCs w:val="22"/>
        </w:rPr>
        <w:t>&lt;LHD&gt;</w:t>
      </w:r>
      <w:r w:rsidRPr="00B05B15">
        <w:rPr>
          <w:rFonts w:ascii="Calibri" w:hAnsi="Calibri"/>
          <w:sz w:val="22"/>
          <w:szCs w:val="22"/>
        </w:rPr>
        <w:t xml:space="preserve">_&lt; </w:t>
      </w:r>
      <w:proofErr w:type="spellStart"/>
      <w:r w:rsidR="00F441EE" w:rsidRPr="00B05B15">
        <w:rPr>
          <w:rFonts w:ascii="Calibri" w:hAnsi="Calibri"/>
          <w:sz w:val="22"/>
          <w:szCs w:val="22"/>
        </w:rPr>
        <w:t>T</w:t>
      </w:r>
      <w:r w:rsidRPr="00B05B15">
        <w:rPr>
          <w:rFonts w:ascii="Calibri" w:hAnsi="Calibri"/>
          <w:sz w:val="22"/>
          <w:szCs w:val="22"/>
        </w:rPr>
        <w:t>PShortName</w:t>
      </w:r>
      <w:proofErr w:type="spellEnd"/>
      <w:r w:rsidRPr="00B05B15">
        <w:rPr>
          <w:rFonts w:ascii="Calibri" w:hAnsi="Calibri"/>
          <w:sz w:val="22"/>
          <w:szCs w:val="22"/>
        </w:rPr>
        <w:t>&gt;_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0373FC0"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E327BD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3" w:name="_Hlk57191447"/>
    </w:p>
    <w:p w14:paraId="0381ED26" w14:textId="35229863"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4" w:name="_MON_1702967156"/>
    <w:bookmarkEnd w:id="24"/>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6" type="#_x0000_t75" style="width:53.5pt;height:33.5pt" o:ole="">
            <v:imagedata r:id="rId34" o:title=""/>
          </v:shape>
          <o:OLEObject Type="Embed" ProgID="Excel.Sheet.12" ShapeID="_x0000_i1026" DrawAspect="Icon" ObjectID="_1736856985" r:id="rId35"/>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proofErr w:type="spellStart"/>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FTP</w:t>
      </w:r>
      <w:proofErr w:type="spellEnd"/>
      <w:r w:rsidR="00EE3005" w:rsidRPr="7647A1F1">
        <w:rPr>
          <w:rFonts w:asciiTheme="minorHAnsi" w:hAnsiTheme="minorHAnsi" w:cstheme="minorBidi"/>
          <w:sz w:val="22"/>
          <w:szCs w:val="22"/>
        </w:rPr>
        <w:t xml:space="preserve">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6911BE9A" w14:textId="77777777" w:rsidR="00943790" w:rsidRDefault="00943790" w:rsidP="00943790">
      <w:pPr>
        <w:rPr>
          <w:rFonts w:asciiTheme="minorHAnsi" w:hAnsiTheme="minorHAnsi" w:cstheme="minorHAnsi"/>
          <w:sz w:val="22"/>
          <w:szCs w:val="22"/>
        </w:rPr>
      </w:pPr>
    </w:p>
    <w:p w14:paraId="7DB5F2A2" w14:textId="77777777" w:rsidR="00943790" w:rsidRPr="00E43827" w:rsidRDefault="00943790" w:rsidP="00943790">
      <w:pPr>
        <w:rPr>
          <w:rFonts w:ascii="Calibri" w:hAnsi="Calibri"/>
          <w:b/>
          <w:strike/>
          <w:sz w:val="22"/>
          <w:szCs w:val="22"/>
          <w:u w:val="single"/>
        </w:rPr>
      </w:pPr>
      <w:r w:rsidRPr="00E43827">
        <w:rPr>
          <w:rFonts w:ascii="Calibri" w:hAnsi="Calibri"/>
          <w:b/>
          <w:strike/>
          <w:sz w:val="22"/>
          <w:szCs w:val="22"/>
          <w:u w:val="single"/>
        </w:rPr>
        <w:t xml:space="preserve">IX. Performance Report - LHD Care Management Data Platform to BH I/DD TPs </w:t>
      </w:r>
      <w:r w:rsidRPr="00D25DF5">
        <w:rPr>
          <w:rFonts w:ascii="Calibri" w:hAnsi="Calibri"/>
          <w:b/>
          <w:i/>
          <w:iCs/>
          <w:color w:val="FF0000"/>
          <w:sz w:val="22"/>
          <w:szCs w:val="22"/>
        </w:rPr>
        <w:t xml:space="preserve">This file will be replaced by CMHRP Interaction Level Report from LHD TO </w:t>
      </w:r>
      <w:r>
        <w:rPr>
          <w:rFonts w:ascii="Calibri" w:hAnsi="Calibri"/>
          <w:b/>
          <w:i/>
          <w:iCs/>
          <w:color w:val="FF0000"/>
          <w:sz w:val="22"/>
          <w:szCs w:val="22"/>
        </w:rPr>
        <w:t>BH I/DD TPs</w:t>
      </w:r>
      <w:r w:rsidRPr="00D25DF5">
        <w:rPr>
          <w:rFonts w:ascii="Calibri" w:hAnsi="Calibri"/>
          <w:b/>
          <w:i/>
          <w:iCs/>
          <w:color w:val="FF0000"/>
          <w:sz w:val="22"/>
          <w:szCs w:val="22"/>
        </w:rPr>
        <w:t xml:space="preserve"> and </w:t>
      </w:r>
      <w:r>
        <w:rPr>
          <w:rFonts w:ascii="Calibri" w:hAnsi="Calibri"/>
          <w:b/>
          <w:i/>
          <w:iCs/>
          <w:color w:val="FF0000"/>
          <w:sz w:val="22"/>
          <w:szCs w:val="22"/>
        </w:rPr>
        <w:t xml:space="preserve">will </w:t>
      </w:r>
      <w:r w:rsidRPr="00D25DF5">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 BH I/DD TPs</w:t>
      </w:r>
      <w:r w:rsidRPr="00D25DF5">
        <w:rPr>
          <w:rFonts w:ascii="Calibri" w:hAnsi="Calibri"/>
          <w:b/>
          <w:i/>
          <w:iCs/>
          <w:color w:val="FF0000"/>
          <w:sz w:val="22"/>
          <w:szCs w:val="22"/>
        </w:rPr>
        <w:t xml:space="preserve"> </w:t>
      </w:r>
      <w:r>
        <w:rPr>
          <w:rFonts w:ascii="Calibri" w:hAnsi="Calibri"/>
          <w:b/>
          <w:i/>
          <w:iCs/>
          <w:color w:val="FF0000"/>
          <w:sz w:val="22"/>
          <w:szCs w:val="22"/>
        </w:rPr>
        <w:t>will need to use the data in the interaction level report to derive the appropriate measures.</w:t>
      </w:r>
    </w:p>
    <w:p w14:paraId="482A2F68" w14:textId="77777777" w:rsidR="00943790" w:rsidRDefault="00943790" w:rsidP="00943790">
      <w:pPr>
        <w:rPr>
          <w:rFonts w:ascii="Calibri" w:hAnsi="Calibri"/>
          <w:b/>
          <w:sz w:val="22"/>
          <w:szCs w:val="22"/>
          <w:u w:val="single"/>
        </w:rPr>
      </w:pPr>
    </w:p>
    <w:p w14:paraId="15697AAE" w14:textId="77777777" w:rsidR="00943790" w:rsidRPr="00815A4B" w:rsidRDefault="00943790" w:rsidP="00943790">
      <w:pPr>
        <w:rPr>
          <w:rFonts w:ascii="Calibri" w:hAnsi="Calibri"/>
          <w:i/>
          <w:iCs/>
          <w:strike/>
          <w:color w:val="FF0000"/>
          <w:sz w:val="22"/>
          <w:szCs w:val="22"/>
        </w:rPr>
      </w:pPr>
      <w:r w:rsidRPr="00815A4B">
        <w:rPr>
          <w:rFonts w:ascii="Calibri" w:hAnsi="Calibri"/>
          <w:b/>
          <w:bCs/>
          <w:strike/>
          <w:sz w:val="22"/>
          <w:szCs w:val="22"/>
        </w:rPr>
        <w:t>File Layout:</w:t>
      </w:r>
      <w:r w:rsidRPr="00815A4B">
        <w:rPr>
          <w:rFonts w:ascii="Calibri" w:hAnsi="Calibri"/>
          <w:strike/>
          <w:sz w:val="22"/>
          <w:szCs w:val="22"/>
        </w:rPr>
        <w:t xml:space="preserve"> To streamline information exchange, and reduce costs and administrative burden for all stakeholders, the Department has developed a standard layout for sharing CMHRP program Performance Data. The CMHRP performance file layout is attached with this document.</w:t>
      </w:r>
    </w:p>
    <w:p w14:paraId="0A942D25" w14:textId="77777777" w:rsidR="00943790" w:rsidRPr="00815A4B" w:rsidRDefault="00943790" w:rsidP="00943790">
      <w:pPr>
        <w:jc w:val="center"/>
        <w:rPr>
          <w:rFonts w:ascii="Calibri" w:hAnsi="Calibri"/>
          <w:b/>
          <w:strike/>
          <w:sz w:val="22"/>
          <w:szCs w:val="22"/>
        </w:rPr>
      </w:pPr>
    </w:p>
    <w:bookmarkStart w:id="25" w:name="_MON_1722249841"/>
    <w:bookmarkEnd w:id="25"/>
    <w:p w14:paraId="7194A64D" w14:textId="2C200CB6" w:rsidR="00943790" w:rsidRPr="00815A4B" w:rsidRDefault="00B20594" w:rsidP="00943790">
      <w:pPr>
        <w:jc w:val="center"/>
        <w:rPr>
          <w:rFonts w:ascii="Calibri" w:hAnsi="Calibri"/>
          <w:b/>
          <w:strike/>
          <w:sz w:val="22"/>
          <w:szCs w:val="22"/>
        </w:rPr>
      </w:pPr>
      <w:r w:rsidRPr="000C144B">
        <w:rPr>
          <w:rFonts w:ascii="Calibri" w:hAnsi="Calibri"/>
          <w:b/>
          <w:strike/>
          <w:sz w:val="22"/>
          <w:szCs w:val="22"/>
        </w:rPr>
        <w:object w:dxaOrig="890" w:dyaOrig="573" w14:anchorId="48C9B873">
          <v:shape id="_x0000_i1027" type="#_x0000_t75" style="width:64pt;height:40pt" o:ole="">
            <v:imagedata r:id="rId36" o:title=""/>
          </v:shape>
          <o:OLEObject Type="Embed" ProgID="Excel.Sheet.12" ShapeID="_x0000_i1027" DrawAspect="Icon" ObjectID="_1736856986" r:id="rId37"/>
        </w:object>
      </w:r>
    </w:p>
    <w:p w14:paraId="6EBCCB36" w14:textId="77777777" w:rsidR="00943790" w:rsidRPr="00815A4B" w:rsidRDefault="00943790" w:rsidP="00943790">
      <w:pPr>
        <w:rPr>
          <w:rFonts w:ascii="Calibri" w:hAnsi="Calibri"/>
          <w:b/>
          <w:strike/>
          <w:sz w:val="22"/>
          <w:szCs w:val="22"/>
        </w:rPr>
      </w:pPr>
    </w:p>
    <w:p w14:paraId="5BCCBE8B" w14:textId="77777777" w:rsidR="00943790" w:rsidRPr="00815A4B" w:rsidRDefault="00943790" w:rsidP="00943790">
      <w:pPr>
        <w:rPr>
          <w:rFonts w:ascii="Calibri" w:hAnsi="Calibri"/>
          <w:strike/>
          <w:sz w:val="22"/>
          <w:szCs w:val="22"/>
        </w:rPr>
      </w:pPr>
      <w:r w:rsidRPr="00815A4B">
        <w:rPr>
          <w:rFonts w:ascii="Calibri" w:hAnsi="Calibri"/>
          <w:b/>
          <w:strike/>
          <w:sz w:val="22"/>
          <w:szCs w:val="22"/>
        </w:rPr>
        <w:t xml:space="preserve">File Data Scope: </w:t>
      </w:r>
      <w:r w:rsidRPr="00815A4B">
        <w:rPr>
          <w:rFonts w:ascii="Calibri" w:hAnsi="Calibri"/>
          <w:strike/>
          <w:color w:val="000000"/>
          <w:sz w:val="22"/>
          <w:szCs w:val="22"/>
        </w:rPr>
        <w:t xml:space="preserve">Reporting on care coordination for High-Risk Pregnancies </w:t>
      </w:r>
    </w:p>
    <w:p w14:paraId="58B6B1F0" w14:textId="77777777" w:rsidR="00943790" w:rsidRPr="00815A4B" w:rsidRDefault="00943790" w:rsidP="00943790">
      <w:pPr>
        <w:rPr>
          <w:rFonts w:ascii="Calibri" w:hAnsi="Calibri"/>
          <w:b/>
          <w:strike/>
          <w:sz w:val="22"/>
          <w:szCs w:val="22"/>
        </w:rPr>
      </w:pPr>
    </w:p>
    <w:p w14:paraId="73D51D0D"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Source:</w:t>
      </w:r>
      <w:r w:rsidRPr="00815A4B">
        <w:rPr>
          <w:rFonts w:ascii="Calibri" w:hAnsi="Calibri"/>
          <w:strike/>
          <w:sz w:val="22"/>
          <w:szCs w:val="22"/>
        </w:rPr>
        <w:t xml:space="preserve"> LHD Care Management Platform</w:t>
      </w:r>
    </w:p>
    <w:p w14:paraId="51C865E5" w14:textId="77777777" w:rsidR="00943790" w:rsidRPr="00815A4B" w:rsidRDefault="00943790" w:rsidP="00943790">
      <w:pPr>
        <w:rPr>
          <w:rFonts w:ascii="Calibri" w:hAnsi="Calibri"/>
          <w:strike/>
          <w:sz w:val="22"/>
          <w:szCs w:val="22"/>
        </w:rPr>
      </w:pPr>
    </w:p>
    <w:p w14:paraId="0FF9EADF"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Target(s):</w:t>
      </w:r>
      <w:r w:rsidRPr="00815A4B">
        <w:rPr>
          <w:rFonts w:ascii="Calibri" w:hAnsi="Calibri"/>
          <w:strike/>
          <w:sz w:val="22"/>
          <w:szCs w:val="22"/>
        </w:rPr>
        <w:t xml:space="preserve"> BH I/DD TPs</w:t>
      </w:r>
    </w:p>
    <w:p w14:paraId="01B416FA" w14:textId="77777777" w:rsidR="00943790" w:rsidRPr="00815A4B" w:rsidRDefault="00943790" w:rsidP="00943790">
      <w:pPr>
        <w:rPr>
          <w:rFonts w:ascii="Calibri" w:hAnsi="Calibri"/>
          <w:strike/>
          <w:sz w:val="22"/>
          <w:szCs w:val="22"/>
        </w:rPr>
      </w:pPr>
    </w:p>
    <w:p w14:paraId="74E21D81" w14:textId="77777777" w:rsidR="00943790" w:rsidRPr="00815A4B" w:rsidRDefault="00943790" w:rsidP="00943790">
      <w:pPr>
        <w:rPr>
          <w:rFonts w:ascii="Calibri" w:hAnsi="Calibri"/>
          <w:strike/>
          <w:sz w:val="22"/>
          <w:szCs w:val="22"/>
        </w:rPr>
      </w:pPr>
      <w:r w:rsidRPr="00815A4B">
        <w:rPr>
          <w:rFonts w:ascii="Calibri" w:hAnsi="Calibri"/>
          <w:b/>
          <w:strike/>
          <w:sz w:val="22"/>
          <w:szCs w:val="22"/>
        </w:rPr>
        <w:t xml:space="preserve">File Type: </w:t>
      </w:r>
      <w:r w:rsidRPr="00815A4B">
        <w:rPr>
          <w:rFonts w:ascii="Calibri" w:hAnsi="Calibri"/>
          <w:bCs/>
          <w:strike/>
          <w:sz w:val="22"/>
          <w:szCs w:val="22"/>
        </w:rPr>
        <w:t>Standard Excel (XLSX) file</w:t>
      </w:r>
    </w:p>
    <w:p w14:paraId="2192CFE9" w14:textId="77777777" w:rsidR="00943790" w:rsidRPr="00815A4B" w:rsidRDefault="00943790" w:rsidP="00943790">
      <w:pPr>
        <w:rPr>
          <w:rFonts w:ascii="Calibri" w:hAnsi="Calibri"/>
          <w:strike/>
          <w:sz w:val="22"/>
          <w:szCs w:val="22"/>
        </w:rPr>
      </w:pPr>
    </w:p>
    <w:p w14:paraId="183ED35F"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Transmission Type:</w:t>
      </w:r>
      <w:r w:rsidRPr="00815A4B">
        <w:rPr>
          <w:rFonts w:ascii="Calibri" w:hAnsi="Calibri"/>
          <w:strike/>
          <w:sz w:val="22"/>
          <w:szCs w:val="22"/>
        </w:rPr>
        <w:t xml:space="preserve"> </w:t>
      </w:r>
      <w:proofErr w:type="spellStart"/>
      <w:r w:rsidRPr="00815A4B">
        <w:rPr>
          <w:rFonts w:ascii="Calibri" w:hAnsi="Calibri"/>
          <w:strike/>
          <w:sz w:val="22"/>
          <w:szCs w:val="22"/>
        </w:rPr>
        <w:t>sFTP</w:t>
      </w:r>
      <w:proofErr w:type="spellEnd"/>
      <w:r w:rsidRPr="00815A4B">
        <w:rPr>
          <w:rFonts w:ascii="Calibri" w:hAnsi="Calibri"/>
          <w:strike/>
          <w:sz w:val="22"/>
          <w:szCs w:val="22"/>
        </w:rPr>
        <w:t>. Source and Target entities should work together to establish file exchange through secure file transfer protocol.</w:t>
      </w:r>
    </w:p>
    <w:p w14:paraId="3D3FA00E" w14:textId="77777777" w:rsidR="00943790" w:rsidRPr="00815A4B" w:rsidRDefault="00943790" w:rsidP="00943790">
      <w:pPr>
        <w:rPr>
          <w:rFonts w:ascii="Calibri" w:hAnsi="Calibri"/>
          <w:strike/>
          <w:sz w:val="22"/>
          <w:szCs w:val="22"/>
        </w:rPr>
      </w:pPr>
    </w:p>
    <w:p w14:paraId="4CEC09EF" w14:textId="77777777" w:rsidR="00943790" w:rsidRPr="00815A4B" w:rsidRDefault="00943790" w:rsidP="00943790">
      <w:pPr>
        <w:rPr>
          <w:rFonts w:ascii="Calibri" w:hAnsi="Calibri"/>
          <w:strike/>
          <w:color w:val="000000"/>
          <w:sz w:val="22"/>
          <w:szCs w:val="22"/>
        </w:rPr>
      </w:pPr>
      <w:r w:rsidRPr="00815A4B">
        <w:rPr>
          <w:rFonts w:ascii="Calibri" w:hAnsi="Calibri"/>
          <w:b/>
          <w:strike/>
          <w:sz w:val="22"/>
          <w:szCs w:val="22"/>
        </w:rPr>
        <w:t xml:space="preserve">File Delivery Frequency: </w:t>
      </w:r>
      <w:r w:rsidRPr="00815A4B">
        <w:rPr>
          <w:rFonts w:ascii="Calibri" w:hAnsi="Calibri"/>
          <w:bCs/>
          <w:strike/>
          <w:sz w:val="22"/>
          <w:szCs w:val="22"/>
        </w:rPr>
        <w:t>Monthly. LHD Care Management should publish a standard schedule when they will publish this report monthly.</w:t>
      </w:r>
    </w:p>
    <w:p w14:paraId="1645EF4B" w14:textId="77777777" w:rsidR="00943790" w:rsidRPr="00815A4B" w:rsidRDefault="00943790" w:rsidP="00943790">
      <w:pPr>
        <w:rPr>
          <w:rFonts w:ascii="Calibri" w:hAnsi="Calibri"/>
          <w:strike/>
          <w:sz w:val="22"/>
          <w:szCs w:val="22"/>
        </w:rPr>
      </w:pPr>
    </w:p>
    <w:p w14:paraId="13F9BF14" w14:textId="77777777" w:rsidR="00943790" w:rsidRPr="00815A4B" w:rsidRDefault="00943790" w:rsidP="00943790">
      <w:pPr>
        <w:rPr>
          <w:rFonts w:ascii="Calibri" w:hAnsi="Calibri"/>
          <w:b/>
          <w:strike/>
          <w:sz w:val="22"/>
          <w:szCs w:val="22"/>
        </w:rPr>
      </w:pPr>
      <w:r w:rsidRPr="00815A4B">
        <w:rPr>
          <w:rFonts w:ascii="Calibri" w:hAnsi="Calibri"/>
          <w:b/>
          <w:strike/>
          <w:sz w:val="22"/>
          <w:szCs w:val="22"/>
        </w:rPr>
        <w:t xml:space="preserve">File Naming Convention: </w:t>
      </w:r>
      <w:r w:rsidRPr="00815A4B">
        <w:rPr>
          <w:rFonts w:ascii="Calibri" w:hAnsi="Calibri"/>
          <w:strike/>
          <w:sz w:val="22"/>
          <w:szCs w:val="22"/>
        </w:rPr>
        <w:t xml:space="preserve">BH I/DD TPs are expected to follow the below file naming convention </w:t>
      </w:r>
    </w:p>
    <w:p w14:paraId="6F2429E5" w14:textId="77777777" w:rsidR="00943790" w:rsidRPr="00815A4B" w:rsidRDefault="00943790" w:rsidP="00943790">
      <w:pPr>
        <w:rPr>
          <w:rFonts w:ascii="Calibri" w:hAnsi="Calibri"/>
          <w:strike/>
          <w:sz w:val="22"/>
          <w:szCs w:val="22"/>
        </w:rPr>
      </w:pPr>
      <w:r w:rsidRPr="00815A4B">
        <w:rPr>
          <w:rFonts w:ascii="Calibri" w:hAnsi="Calibri"/>
          <w:strike/>
          <w:sz w:val="22"/>
          <w:szCs w:val="22"/>
        </w:rPr>
        <w:t>LHD_&lt;TPShortName&gt;_BCM024-J_##_Monthly_CMHRP_Perf_Rpt_v02_YYYYMMDD</w:t>
      </w:r>
    </w:p>
    <w:p w14:paraId="596828E8" w14:textId="77777777" w:rsidR="00943790" w:rsidRPr="00815A4B" w:rsidRDefault="00943790" w:rsidP="00943790">
      <w:pPr>
        <w:rPr>
          <w:rFonts w:ascii="Calibri" w:hAnsi="Calibri"/>
          <w:strike/>
          <w:sz w:val="22"/>
          <w:szCs w:val="22"/>
        </w:rPr>
      </w:pPr>
    </w:p>
    <w:p w14:paraId="0BF629B8" w14:textId="77777777" w:rsidR="00943790" w:rsidRPr="00815A4B" w:rsidRDefault="00943790" w:rsidP="00943790">
      <w:pPr>
        <w:rPr>
          <w:rFonts w:ascii="Calibri" w:hAnsi="Calibri"/>
          <w:strike/>
          <w:sz w:val="22"/>
          <w:szCs w:val="22"/>
        </w:rPr>
      </w:pPr>
      <w:r w:rsidRPr="00815A4B">
        <w:rPr>
          <w:rFonts w:ascii="Calibri" w:hAnsi="Calibri"/>
          <w:strike/>
          <w:sz w:val="22"/>
          <w:szCs w:val="22"/>
        </w:rPr>
        <w:t>Below are the short names for each TP, use these for &lt;</w:t>
      </w:r>
      <w:proofErr w:type="spellStart"/>
      <w:r w:rsidRPr="00815A4B">
        <w:rPr>
          <w:rFonts w:ascii="Calibri" w:hAnsi="Calibri"/>
          <w:strike/>
          <w:sz w:val="22"/>
          <w:szCs w:val="22"/>
        </w:rPr>
        <w:t>TPShortName</w:t>
      </w:r>
      <w:proofErr w:type="spellEnd"/>
      <w:r w:rsidRPr="00815A4B">
        <w:rPr>
          <w:rFonts w:ascii="Calibri" w:hAnsi="Calibri"/>
          <w:strike/>
          <w:sz w:val="22"/>
          <w:szCs w:val="22"/>
        </w:rPr>
        <w:t>&gt;:</w:t>
      </w:r>
    </w:p>
    <w:p w14:paraId="7DAB3EB9"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Alliance Health = ALLT</w:t>
      </w:r>
    </w:p>
    <w:p w14:paraId="2D9238F8"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Eastpointe = EAST</w:t>
      </w:r>
    </w:p>
    <w:p w14:paraId="5DA03C03"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Partners Health Management = PART</w:t>
      </w:r>
    </w:p>
    <w:p w14:paraId="672B2896"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Sandhills Center = SANT</w:t>
      </w:r>
    </w:p>
    <w:p w14:paraId="7DC0F91A"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Trillium Health Resources = TRIT</w:t>
      </w:r>
    </w:p>
    <w:p w14:paraId="6F2148E3" w14:textId="77777777" w:rsidR="00943790"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Vaya Health = VAYT</w:t>
      </w:r>
    </w:p>
    <w:p w14:paraId="6D8B76AD" w14:textId="77777777" w:rsidR="008E6A00" w:rsidRPr="00815A4B" w:rsidRDefault="008E6A00" w:rsidP="00815A4B">
      <w:pPr>
        <w:rPr>
          <w:rFonts w:ascii="Calibri" w:hAnsi="Calibri"/>
          <w:strike/>
          <w:sz w:val="22"/>
          <w:szCs w:val="22"/>
        </w:rPr>
      </w:pPr>
    </w:p>
    <w:p w14:paraId="39DF5B98" w14:textId="77777777" w:rsidR="00943790" w:rsidRPr="00815A4B" w:rsidRDefault="00943790" w:rsidP="00815A4B">
      <w:pPr>
        <w:rPr>
          <w:rFonts w:asciiTheme="minorHAnsi" w:hAnsiTheme="minorHAnsi" w:cstheme="minorHAnsi"/>
          <w:sz w:val="22"/>
          <w:szCs w:val="22"/>
        </w:rPr>
      </w:pPr>
    </w:p>
    <w:p w14:paraId="5AE583D6" w14:textId="77777777" w:rsidR="008E6A00" w:rsidRDefault="008E6A00" w:rsidP="008E6A00">
      <w:pPr>
        <w:rPr>
          <w:rFonts w:ascii="Calibri" w:hAnsi="Calibri"/>
          <w:b/>
          <w:bCs/>
          <w:sz w:val="22"/>
          <w:szCs w:val="22"/>
          <w:u w:val="single"/>
        </w:rPr>
      </w:pPr>
      <w:r>
        <w:rPr>
          <w:rFonts w:ascii="Calibri" w:hAnsi="Calibri"/>
          <w:b/>
          <w:bCs/>
          <w:sz w:val="22"/>
          <w:szCs w:val="22"/>
          <w:u w:val="single"/>
        </w:rPr>
        <w:t>X.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26" w:name="_MON_1727595971"/>
    <w:bookmarkEnd w:id="26"/>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34" type="#_x0000_t75" style="width:58pt;height:37pt" o:ole="">
            <v:imagedata r:id="rId38" o:title=""/>
          </v:shape>
          <o:OLEObject Type="Embed" ProgID="Excel.Sheet.12" ShapeID="_x0000_i1034" DrawAspect="Icon" ObjectID="_1736856987" r:id="rId39"/>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w:t>
      </w:r>
      <w:proofErr w:type="spellStart"/>
      <w:r w:rsidRPr="006B1B85">
        <w:rPr>
          <w:rFonts w:ascii="Calibri" w:hAnsi="Calibri"/>
          <w:sz w:val="22"/>
          <w:szCs w:val="22"/>
        </w:rPr>
        <w:t>sFTP</w:t>
      </w:r>
      <w:proofErr w:type="spellEnd"/>
      <w:r w:rsidRPr="006B1B85">
        <w:rPr>
          <w:rFonts w:ascii="Calibri" w:hAnsi="Calibri"/>
          <w:sz w:val="22"/>
          <w:szCs w:val="22"/>
        </w:rPr>
        <w:t>)</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previous calendar week. Report period is the week Sunday through Saturday</w:t>
      </w:r>
      <w:r>
        <w:rPr>
          <w:rFonts w:ascii="Calibri" w:eastAsia="Calibri" w:hAnsi="Calibri" w:cs="Calibri"/>
          <w:sz w:val="22"/>
          <w:szCs w:val="22"/>
        </w:rPr>
        <w:t>. (</w:t>
      </w:r>
      <w:proofErr w:type="gramStart"/>
      <w:r w:rsidRPr="00D5750C">
        <w:rPr>
          <w:rFonts w:ascii="Calibri" w:eastAsia="Calibri" w:hAnsi="Calibri" w:cs="Calibri"/>
          <w:sz w:val="22"/>
          <w:szCs w:val="22"/>
        </w:rPr>
        <w:t>e.g.</w:t>
      </w:r>
      <w:proofErr w:type="gramEnd"/>
      <w:r w:rsidRPr="00D5750C">
        <w:rPr>
          <w:rFonts w:ascii="Calibri" w:eastAsia="Calibri" w:hAnsi="Calibri" w:cs="Calibri"/>
          <w:sz w:val="22"/>
          <w:szCs w:val="22"/>
        </w:rPr>
        <w:t xml:space="preserve">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proofErr w:type="gramStart"/>
      <w:r w:rsidRPr="31392FE5">
        <w:rPr>
          <w:rFonts w:ascii="Calibri" w:hAnsi="Calibri"/>
          <w:sz w:val="22"/>
          <w:szCs w:val="22"/>
        </w:rPr>
        <w:t>Full:</w:t>
      </w:r>
      <w:r w:rsidRPr="006B1B85">
        <w:rPr>
          <w:rFonts w:ascii="Calibri" w:hAnsi="Calibri"/>
          <w:sz w:val="22"/>
          <w:szCs w:val="22"/>
        </w:rPr>
        <w:t>NCMT</w:t>
      </w:r>
      <w:proofErr w:type="gramEnd"/>
      <w:r w:rsidRPr="006B1B85">
        <w:rPr>
          <w:rFonts w:ascii="Calibri" w:hAnsi="Calibri"/>
          <w:sz w:val="22"/>
          <w:szCs w:val="22"/>
        </w:rPr>
        <w: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proofErr w:type="gramStart"/>
      <w:r>
        <w:rPr>
          <w:rFonts w:ascii="Calibri" w:hAnsi="Calibri"/>
          <w:sz w:val="22"/>
          <w:szCs w:val="22"/>
        </w:rPr>
        <w:t>Incremental:</w:t>
      </w:r>
      <w:r w:rsidRPr="31392FE5">
        <w:rPr>
          <w:rFonts w:ascii="Calibri" w:hAnsi="Calibri"/>
          <w:sz w:val="22"/>
          <w:szCs w:val="22"/>
        </w:rPr>
        <w:t>NCMT</w:t>
      </w:r>
      <w:proofErr w:type="gramEnd"/>
      <w:r w:rsidRPr="31392FE5">
        <w:rPr>
          <w:rFonts w:ascii="Calibri" w:hAnsi="Calibri"/>
          <w:sz w:val="22"/>
          <w:szCs w:val="22"/>
        </w:rPr>
        <w: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5E53DC0"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9E1EF04"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23"/>
    <w:p w14:paraId="55DB16E0" w14:textId="77777777" w:rsidR="009C2896" w:rsidRPr="00EE3005" w:rsidRDefault="009C2896" w:rsidP="00815A4B">
      <w:pPr>
        <w:rPr>
          <w:rFonts w:asciiTheme="minorHAnsi" w:hAnsiTheme="minorHAnsi" w:cstheme="minorHAnsi"/>
          <w:sz w:val="22"/>
          <w:szCs w:val="22"/>
        </w:rPr>
      </w:pPr>
    </w:p>
    <w:p w14:paraId="68CDFE8D" w14:textId="39908667" w:rsidR="0081660A" w:rsidRPr="00EE3005" w:rsidRDefault="008B405C" w:rsidP="37A50968">
      <w:pPr>
        <w:rPr>
          <w:rFonts w:asciiTheme="minorHAnsi" w:hAnsiTheme="minorHAnsi" w:cstheme="minorBidi"/>
          <w:b/>
          <w:bCs/>
          <w:sz w:val="22"/>
          <w:szCs w:val="22"/>
        </w:rPr>
      </w:pPr>
      <w:r w:rsidRPr="37A50968">
        <w:rPr>
          <w:rFonts w:asciiTheme="minorHAnsi" w:hAnsiTheme="minorHAnsi" w:cstheme="minorBidi"/>
          <w:b/>
          <w:bCs/>
          <w:sz w:val="22"/>
          <w:szCs w:val="22"/>
          <w:u w:val="single"/>
        </w:rPr>
        <w:t>X</w:t>
      </w:r>
      <w:r w:rsidR="00DD4432">
        <w:rPr>
          <w:rFonts w:asciiTheme="minorHAnsi" w:hAnsiTheme="minorHAnsi" w:cstheme="minorBidi"/>
          <w:b/>
          <w:bCs/>
          <w:sz w:val="22"/>
          <w:szCs w:val="22"/>
          <w:u w:val="single"/>
        </w:rPr>
        <w:t>I</w:t>
      </w:r>
      <w:r w:rsidRPr="37A50968">
        <w:rPr>
          <w:rFonts w:asciiTheme="minorHAnsi" w:hAnsiTheme="minorHAnsi" w:cstheme="minorBidi"/>
          <w:b/>
          <w:bCs/>
          <w:sz w:val="22"/>
          <w:szCs w:val="22"/>
          <w:u w:val="single"/>
        </w:rPr>
        <w:t>. References</w:t>
      </w:r>
    </w:p>
    <w:p w14:paraId="11A81B49" w14:textId="5496FD4C" w:rsidR="0947F655" w:rsidRDefault="00D40838" w:rsidP="37A50968">
      <w:pPr>
        <w:numPr>
          <w:ilvl w:val="1"/>
          <w:numId w:val="3"/>
        </w:numPr>
        <w:rPr>
          <w:b/>
          <w:bCs/>
          <w:sz w:val="22"/>
          <w:szCs w:val="22"/>
        </w:rPr>
      </w:pPr>
      <w:hyperlink r:id="rId40">
        <w:r w:rsidR="0947F655"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D40838" w:rsidP="37A50968">
      <w:pPr>
        <w:numPr>
          <w:ilvl w:val="1"/>
          <w:numId w:val="3"/>
        </w:numPr>
        <w:rPr>
          <w:rFonts w:asciiTheme="minorHAnsi" w:hAnsiTheme="minorHAnsi" w:cstheme="minorBidi"/>
          <w:b/>
          <w:bCs/>
          <w:sz w:val="22"/>
          <w:szCs w:val="22"/>
        </w:rPr>
      </w:pPr>
      <w:hyperlink r:id="rId41">
        <w:r w:rsidR="002E2968"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D40838" w:rsidP="002258DE">
      <w:pPr>
        <w:numPr>
          <w:ilvl w:val="1"/>
          <w:numId w:val="3"/>
        </w:numPr>
        <w:rPr>
          <w:rFonts w:asciiTheme="minorHAnsi" w:hAnsiTheme="minorHAnsi" w:cstheme="minorHAnsi"/>
          <w:b/>
          <w:sz w:val="22"/>
          <w:szCs w:val="22"/>
        </w:rPr>
      </w:pPr>
      <w:hyperlink r:id="rId42">
        <w:r w:rsidR="002337ED" w:rsidRPr="37A50968">
          <w:rPr>
            <w:rStyle w:val="Hyperlink"/>
            <w:rFonts w:asciiTheme="minorHAnsi" w:hAnsiTheme="minorHAnsi" w:cstheme="minorBidi"/>
            <w:b/>
            <w:bCs/>
            <w:sz w:val="22"/>
            <w:szCs w:val="22"/>
          </w:rPr>
          <w:t>Care Management Forms</w:t>
        </w:r>
      </w:hyperlink>
      <w:r w:rsidR="002337ED" w:rsidRPr="37A50968">
        <w:rPr>
          <w:rFonts w:asciiTheme="minorHAnsi" w:hAnsiTheme="minorHAnsi" w:cstheme="minorBidi"/>
          <w:b/>
          <w:bCs/>
          <w:sz w:val="22"/>
          <w:szCs w:val="22"/>
        </w:rPr>
        <w:t xml:space="preserve"> (CMHRP Pregnancy Risk Screen Form)</w:t>
      </w:r>
    </w:p>
    <w:sectPr w:rsidR="00E10055" w:rsidRPr="007D62EE" w:rsidSect="005D2E6D">
      <w:headerReference w:type="default" r:id="rId43"/>
      <w:footerReference w:type="even"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1C59" w14:textId="77777777" w:rsidR="00ED2E74" w:rsidRDefault="00ED2E74">
      <w:r>
        <w:separator/>
      </w:r>
    </w:p>
  </w:endnote>
  <w:endnote w:type="continuationSeparator" w:id="0">
    <w:p w14:paraId="03ABD5B7" w14:textId="77777777" w:rsidR="00ED2E74" w:rsidRDefault="00ED2E74">
      <w:r>
        <w:continuationSeparator/>
      </w:r>
    </w:p>
  </w:endnote>
  <w:endnote w:type="continuationNotice" w:id="1">
    <w:p w14:paraId="1927CA8C" w14:textId="77777777" w:rsidR="00ED2E74" w:rsidRDefault="00ED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4A350487"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A51CD1">
      <w:rPr>
        <w:rFonts w:asciiTheme="minorHAnsi" w:hAnsiTheme="minorHAnsi" w:cstheme="minorHAnsi"/>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E337" w14:textId="77777777" w:rsidR="00ED2E74" w:rsidRDefault="00ED2E74">
      <w:r>
        <w:separator/>
      </w:r>
    </w:p>
  </w:footnote>
  <w:footnote w:type="continuationSeparator" w:id="0">
    <w:p w14:paraId="5A35AF47" w14:textId="77777777" w:rsidR="00ED2E74" w:rsidRDefault="00ED2E74">
      <w:r>
        <w:continuationSeparator/>
      </w:r>
    </w:p>
  </w:footnote>
  <w:footnote w:type="continuationNotice" w:id="1">
    <w:p w14:paraId="77557FDB" w14:textId="77777777" w:rsidR="00ED2E74" w:rsidRDefault="00ED2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0040AEE0" w:rsidR="00863FE2" w:rsidRPr="00B55F3D" w:rsidRDefault="001D7A3F" w:rsidP="00863FE2">
    <w:pPr>
      <w:jc w:val="right"/>
      <w:rPr>
        <w:rFonts w:ascii="Arial" w:hAnsi="Arial" w:cs="Arial"/>
        <w:b/>
        <w:bCs/>
        <w:sz w:val="20"/>
        <w:szCs w:val="20"/>
      </w:rPr>
    </w:pPr>
    <w:r w:rsidRPr="0F3A67A5">
      <w:rPr>
        <w:rFonts w:ascii="Arial" w:hAnsi="Arial" w:cs="Arial"/>
        <w:b/>
        <w:bCs/>
        <w:sz w:val="20"/>
        <w:szCs w:val="20"/>
      </w:rPr>
      <w:t xml:space="preserve">Program Version </w:t>
    </w:r>
    <w:r w:rsidR="009B2C42">
      <w:rPr>
        <w:rFonts w:ascii="Arial" w:hAnsi="Arial" w:cs="Arial"/>
        <w:b/>
        <w:bCs/>
        <w:sz w:val="20"/>
        <w:szCs w:val="20"/>
      </w:rPr>
      <w:t>5</w:t>
    </w:r>
    <w:r w:rsidRPr="0F3A67A5">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912A8"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963"/>
    <w:rsid w:val="00001D77"/>
    <w:rsid w:val="00001DBA"/>
    <w:rsid w:val="00001FC1"/>
    <w:rsid w:val="00002322"/>
    <w:rsid w:val="00002901"/>
    <w:rsid w:val="00002CBE"/>
    <w:rsid w:val="000036B7"/>
    <w:rsid w:val="00003781"/>
    <w:rsid w:val="00004019"/>
    <w:rsid w:val="000047D1"/>
    <w:rsid w:val="00006454"/>
    <w:rsid w:val="00006AD4"/>
    <w:rsid w:val="00006C31"/>
    <w:rsid w:val="00007078"/>
    <w:rsid w:val="000073E1"/>
    <w:rsid w:val="00007826"/>
    <w:rsid w:val="000078E5"/>
    <w:rsid w:val="00010579"/>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1F1"/>
    <w:rsid w:val="001463B4"/>
    <w:rsid w:val="00147489"/>
    <w:rsid w:val="001476DE"/>
    <w:rsid w:val="00147D19"/>
    <w:rsid w:val="00150365"/>
    <w:rsid w:val="00150935"/>
    <w:rsid w:val="00150E07"/>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709F"/>
    <w:rsid w:val="00297193"/>
    <w:rsid w:val="00297237"/>
    <w:rsid w:val="002A00CE"/>
    <w:rsid w:val="002A0669"/>
    <w:rsid w:val="002A07F1"/>
    <w:rsid w:val="002A0A29"/>
    <w:rsid w:val="002A13CC"/>
    <w:rsid w:val="002A1781"/>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66C"/>
    <w:rsid w:val="003646E1"/>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8EC"/>
    <w:rsid w:val="003827E3"/>
    <w:rsid w:val="003828ED"/>
    <w:rsid w:val="00383828"/>
    <w:rsid w:val="00383F6A"/>
    <w:rsid w:val="00384056"/>
    <w:rsid w:val="00384314"/>
    <w:rsid w:val="00384850"/>
    <w:rsid w:val="00385532"/>
    <w:rsid w:val="003855DC"/>
    <w:rsid w:val="003859C7"/>
    <w:rsid w:val="00385EA4"/>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6359"/>
    <w:rsid w:val="003F6ECA"/>
    <w:rsid w:val="003F7741"/>
    <w:rsid w:val="003F7B1E"/>
    <w:rsid w:val="00400571"/>
    <w:rsid w:val="00400AC4"/>
    <w:rsid w:val="00400E35"/>
    <w:rsid w:val="004013AA"/>
    <w:rsid w:val="004013C3"/>
    <w:rsid w:val="0040172C"/>
    <w:rsid w:val="0040179F"/>
    <w:rsid w:val="00401AF0"/>
    <w:rsid w:val="00401E62"/>
    <w:rsid w:val="0040210F"/>
    <w:rsid w:val="00402866"/>
    <w:rsid w:val="00403058"/>
    <w:rsid w:val="00403DEA"/>
    <w:rsid w:val="00403EBB"/>
    <w:rsid w:val="004056EF"/>
    <w:rsid w:val="00405E6A"/>
    <w:rsid w:val="00406617"/>
    <w:rsid w:val="0040678B"/>
    <w:rsid w:val="00407078"/>
    <w:rsid w:val="004076A0"/>
    <w:rsid w:val="00410C9C"/>
    <w:rsid w:val="00410E3E"/>
    <w:rsid w:val="00410F44"/>
    <w:rsid w:val="00410FFF"/>
    <w:rsid w:val="00411DB1"/>
    <w:rsid w:val="004122A1"/>
    <w:rsid w:val="00412B55"/>
    <w:rsid w:val="00412E7C"/>
    <w:rsid w:val="00413A30"/>
    <w:rsid w:val="00413EEF"/>
    <w:rsid w:val="004146CF"/>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D58"/>
    <w:rsid w:val="00472E23"/>
    <w:rsid w:val="004731A8"/>
    <w:rsid w:val="00473F78"/>
    <w:rsid w:val="00473FBA"/>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7107"/>
    <w:rsid w:val="004B72EC"/>
    <w:rsid w:val="004B75A6"/>
    <w:rsid w:val="004B7FE6"/>
    <w:rsid w:val="004C0191"/>
    <w:rsid w:val="004C09AE"/>
    <w:rsid w:val="004C143E"/>
    <w:rsid w:val="004C294D"/>
    <w:rsid w:val="004C3418"/>
    <w:rsid w:val="004C34DB"/>
    <w:rsid w:val="004C3ECA"/>
    <w:rsid w:val="004C4960"/>
    <w:rsid w:val="004C52FD"/>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49"/>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6522"/>
    <w:rsid w:val="00526A6F"/>
    <w:rsid w:val="00526E7E"/>
    <w:rsid w:val="00527023"/>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F7B"/>
    <w:rsid w:val="00591E95"/>
    <w:rsid w:val="005924EB"/>
    <w:rsid w:val="0059311D"/>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1D9E"/>
    <w:rsid w:val="005C2071"/>
    <w:rsid w:val="005C2345"/>
    <w:rsid w:val="005C24DC"/>
    <w:rsid w:val="005C2D76"/>
    <w:rsid w:val="005C2DF4"/>
    <w:rsid w:val="005C31AC"/>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379"/>
    <w:rsid w:val="00651BF8"/>
    <w:rsid w:val="00651F76"/>
    <w:rsid w:val="00652983"/>
    <w:rsid w:val="00652B3E"/>
    <w:rsid w:val="00653730"/>
    <w:rsid w:val="00653C12"/>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835"/>
    <w:rsid w:val="0069394B"/>
    <w:rsid w:val="00694EA9"/>
    <w:rsid w:val="00695391"/>
    <w:rsid w:val="006955DA"/>
    <w:rsid w:val="006967FE"/>
    <w:rsid w:val="00696874"/>
    <w:rsid w:val="00697174"/>
    <w:rsid w:val="0069746D"/>
    <w:rsid w:val="00697A3E"/>
    <w:rsid w:val="006A04B3"/>
    <w:rsid w:val="006A0FC9"/>
    <w:rsid w:val="006A1142"/>
    <w:rsid w:val="006A304E"/>
    <w:rsid w:val="006A31C6"/>
    <w:rsid w:val="006A3452"/>
    <w:rsid w:val="006A4040"/>
    <w:rsid w:val="006A50AF"/>
    <w:rsid w:val="006A530B"/>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5FB"/>
    <w:rsid w:val="006C0995"/>
    <w:rsid w:val="006C0ADA"/>
    <w:rsid w:val="006C0E32"/>
    <w:rsid w:val="006C1181"/>
    <w:rsid w:val="006C18A8"/>
    <w:rsid w:val="006C1B3A"/>
    <w:rsid w:val="006C2776"/>
    <w:rsid w:val="006C316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1C0C"/>
    <w:rsid w:val="00732A95"/>
    <w:rsid w:val="007335C6"/>
    <w:rsid w:val="00733760"/>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9B6"/>
    <w:rsid w:val="007B0B46"/>
    <w:rsid w:val="007B0B4C"/>
    <w:rsid w:val="007B0C7B"/>
    <w:rsid w:val="007B194F"/>
    <w:rsid w:val="007B2FAA"/>
    <w:rsid w:val="007B3053"/>
    <w:rsid w:val="007B3309"/>
    <w:rsid w:val="007B3357"/>
    <w:rsid w:val="007B34F3"/>
    <w:rsid w:val="007B379C"/>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12E1"/>
    <w:rsid w:val="008F1D93"/>
    <w:rsid w:val="008F1F75"/>
    <w:rsid w:val="008F215E"/>
    <w:rsid w:val="008F22BF"/>
    <w:rsid w:val="008F2391"/>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E7B"/>
    <w:rsid w:val="009B0975"/>
    <w:rsid w:val="009B11EC"/>
    <w:rsid w:val="009B199E"/>
    <w:rsid w:val="009B2453"/>
    <w:rsid w:val="009B2C42"/>
    <w:rsid w:val="009B2F72"/>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F61"/>
    <w:rsid w:val="009F2036"/>
    <w:rsid w:val="009F27DC"/>
    <w:rsid w:val="009F2BFD"/>
    <w:rsid w:val="009F4C94"/>
    <w:rsid w:val="009F5516"/>
    <w:rsid w:val="009F68ED"/>
    <w:rsid w:val="009F725C"/>
    <w:rsid w:val="009F76A7"/>
    <w:rsid w:val="00A00088"/>
    <w:rsid w:val="00A003A1"/>
    <w:rsid w:val="00A00FE6"/>
    <w:rsid w:val="00A01113"/>
    <w:rsid w:val="00A015B5"/>
    <w:rsid w:val="00A023AA"/>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2C00"/>
    <w:rsid w:val="00A3442A"/>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92D"/>
    <w:rsid w:val="00AA2D60"/>
    <w:rsid w:val="00AA2E9A"/>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7EB"/>
    <w:rsid w:val="00B94EB9"/>
    <w:rsid w:val="00B94EC8"/>
    <w:rsid w:val="00B958B9"/>
    <w:rsid w:val="00B95B28"/>
    <w:rsid w:val="00B95DB6"/>
    <w:rsid w:val="00B96604"/>
    <w:rsid w:val="00B96EA7"/>
    <w:rsid w:val="00B9724D"/>
    <w:rsid w:val="00B975D5"/>
    <w:rsid w:val="00BA0186"/>
    <w:rsid w:val="00BA0342"/>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7262"/>
    <w:rsid w:val="00C8752E"/>
    <w:rsid w:val="00C911F6"/>
    <w:rsid w:val="00C9175A"/>
    <w:rsid w:val="00C91894"/>
    <w:rsid w:val="00C92B34"/>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62FC"/>
    <w:rsid w:val="00CE6F02"/>
    <w:rsid w:val="00CE6FF8"/>
    <w:rsid w:val="00CE76EF"/>
    <w:rsid w:val="00CE7958"/>
    <w:rsid w:val="00CE7B25"/>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45F4"/>
    <w:rsid w:val="00D048E5"/>
    <w:rsid w:val="00D0567D"/>
    <w:rsid w:val="00D058D2"/>
    <w:rsid w:val="00D0595D"/>
    <w:rsid w:val="00D0606F"/>
    <w:rsid w:val="00D0758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6569"/>
    <w:rsid w:val="00D565EB"/>
    <w:rsid w:val="00D566AB"/>
    <w:rsid w:val="00D5690C"/>
    <w:rsid w:val="00D56999"/>
    <w:rsid w:val="00D57156"/>
    <w:rsid w:val="00D57E8F"/>
    <w:rsid w:val="00D600AB"/>
    <w:rsid w:val="00D606AA"/>
    <w:rsid w:val="00D609E9"/>
    <w:rsid w:val="00D60E2A"/>
    <w:rsid w:val="00D626ED"/>
    <w:rsid w:val="00D628C4"/>
    <w:rsid w:val="00D631AC"/>
    <w:rsid w:val="00D6342C"/>
    <w:rsid w:val="00D63A60"/>
    <w:rsid w:val="00D63B9E"/>
    <w:rsid w:val="00D63FFC"/>
    <w:rsid w:val="00D648D2"/>
    <w:rsid w:val="00D64978"/>
    <w:rsid w:val="00D649BE"/>
    <w:rsid w:val="00D656B9"/>
    <w:rsid w:val="00D665DA"/>
    <w:rsid w:val="00D7005D"/>
    <w:rsid w:val="00D700B5"/>
    <w:rsid w:val="00D70403"/>
    <w:rsid w:val="00D71041"/>
    <w:rsid w:val="00D711CD"/>
    <w:rsid w:val="00D717BB"/>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CD8"/>
    <w:rsid w:val="00D81F5B"/>
    <w:rsid w:val="00D82A52"/>
    <w:rsid w:val="00D82D37"/>
    <w:rsid w:val="00D82E48"/>
    <w:rsid w:val="00D8384E"/>
    <w:rsid w:val="00D838D4"/>
    <w:rsid w:val="00D84375"/>
    <w:rsid w:val="00D84797"/>
    <w:rsid w:val="00D84D3D"/>
    <w:rsid w:val="00D85B97"/>
    <w:rsid w:val="00D85F0B"/>
    <w:rsid w:val="00D86DE2"/>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B4A"/>
    <w:rsid w:val="00DE03CE"/>
    <w:rsid w:val="00DE0EFB"/>
    <w:rsid w:val="00DE208D"/>
    <w:rsid w:val="00DE2122"/>
    <w:rsid w:val="00DE31D4"/>
    <w:rsid w:val="00DE384D"/>
    <w:rsid w:val="00DE3A45"/>
    <w:rsid w:val="00DE4A66"/>
    <w:rsid w:val="00DE4C54"/>
    <w:rsid w:val="00DE531B"/>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F7"/>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35EC"/>
    <w:rsid w:val="00ED374B"/>
    <w:rsid w:val="00ED3A83"/>
    <w:rsid w:val="00ED4062"/>
    <w:rsid w:val="00ED4477"/>
    <w:rsid w:val="00ED46F7"/>
    <w:rsid w:val="00ED4A1F"/>
    <w:rsid w:val="00ED4D3E"/>
    <w:rsid w:val="00ED51BF"/>
    <w:rsid w:val="00ED5375"/>
    <w:rsid w:val="00ED550E"/>
    <w:rsid w:val="00ED5D7B"/>
    <w:rsid w:val="00ED6226"/>
    <w:rsid w:val="00ED69BD"/>
    <w:rsid w:val="00ED6A7F"/>
    <w:rsid w:val="00ED6AD3"/>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705"/>
    <w:rsid w:val="00EF3877"/>
    <w:rsid w:val="00EF3D18"/>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E2"/>
    <w:rsid w:val="00F36BD9"/>
    <w:rsid w:val="00F37AB3"/>
    <w:rsid w:val="00F40160"/>
    <w:rsid w:val="00F40A62"/>
    <w:rsid w:val="00F40B1F"/>
    <w:rsid w:val="00F40C33"/>
    <w:rsid w:val="00F428DE"/>
    <w:rsid w:val="00F43899"/>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4037"/>
    <w:rsid w:val="00FA4176"/>
    <w:rsid w:val="00FA437D"/>
    <w:rsid w:val="00FA558B"/>
    <w:rsid w:val="00FA59C8"/>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2E4"/>
    <w:rsid w:val="00FB3523"/>
    <w:rsid w:val="00FB3DB9"/>
    <w:rsid w:val="00FB4813"/>
    <w:rsid w:val="00FB495F"/>
    <w:rsid w:val="00FB51E2"/>
    <w:rsid w:val="00FB5B34"/>
    <w:rsid w:val="00FB6275"/>
    <w:rsid w:val="00FB7432"/>
    <w:rsid w:val="00FB7A81"/>
    <w:rsid w:val="00FC003E"/>
    <w:rsid w:val="00FC0A34"/>
    <w:rsid w:val="00FC0A71"/>
    <w:rsid w:val="00FC0D54"/>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58C"/>
    <w:rsid w:val="00FE161E"/>
    <w:rsid w:val="00FE16D5"/>
    <w:rsid w:val="00FE1C05"/>
    <w:rsid w:val="00FE23CC"/>
    <w:rsid w:val="00FE335F"/>
    <w:rsid w:val="00FE365D"/>
    <w:rsid w:val="00FE37AE"/>
    <w:rsid w:val="00FE3C5C"/>
    <w:rsid w:val="00FE437A"/>
    <w:rsid w:val="00FE461C"/>
    <w:rsid w:val="00FE5270"/>
    <w:rsid w:val="00FE5518"/>
    <w:rsid w:val="00FE56A6"/>
    <w:rsid w:val="00FE5AF0"/>
    <w:rsid w:val="00FE6F03"/>
    <w:rsid w:val="00FE6F5A"/>
    <w:rsid w:val="00FE76D5"/>
    <w:rsid w:val="00FF138C"/>
    <w:rsid w:val="00FF14DA"/>
    <w:rsid w:val="00FF25EC"/>
    <w:rsid w:val="00FF2A20"/>
    <w:rsid w:val="00FF2AC8"/>
    <w:rsid w:val="00FF2B44"/>
    <w:rsid w:val="00FF313F"/>
    <w:rsid w:val="00FF469B"/>
    <w:rsid w:val="00FF46B9"/>
    <w:rsid w:val="00FF4858"/>
    <w:rsid w:val="00FF6432"/>
    <w:rsid w:val="00FF664A"/>
    <w:rsid w:val="00FF6A55"/>
    <w:rsid w:val="00FF7292"/>
    <w:rsid w:val="00FF76C9"/>
    <w:rsid w:val="00FF7B19"/>
    <w:rsid w:val="04D9BF2F"/>
    <w:rsid w:val="0561F368"/>
    <w:rsid w:val="06F49853"/>
    <w:rsid w:val="07C3957A"/>
    <w:rsid w:val="0947F655"/>
    <w:rsid w:val="0A6CE73B"/>
    <w:rsid w:val="0B08C851"/>
    <w:rsid w:val="0F72419E"/>
    <w:rsid w:val="1126BBEC"/>
    <w:rsid w:val="11AA05DA"/>
    <w:rsid w:val="144EE87A"/>
    <w:rsid w:val="15C216ED"/>
    <w:rsid w:val="1819475E"/>
    <w:rsid w:val="19AC03D2"/>
    <w:rsid w:val="1CA9E37F"/>
    <w:rsid w:val="1CAC8BDA"/>
    <w:rsid w:val="1D63868E"/>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D1E2A7A"/>
    <w:rsid w:val="5FA9E051"/>
    <w:rsid w:val="6145B0B2"/>
    <w:rsid w:val="62EC798E"/>
    <w:rsid w:val="653AAA07"/>
    <w:rsid w:val="6DDA6374"/>
    <w:rsid w:val="72FF9263"/>
    <w:rsid w:val="7647A1F1"/>
    <w:rsid w:val="781BC694"/>
    <w:rsid w:val="7A009A56"/>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7E096D97-67A7-43A9-AF76-1189111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hyperlink" Target="https://medicaid.ncdhhs.gov/transformation/tailored-care-management/tailored-cm-data-specifications-guidance" TargetMode="External"/><Relationship Id="rId39" Type="http://schemas.openxmlformats.org/officeDocument/2006/relationships/package" Target="embeddings/Microsoft_Excel_Worksheet3.xlsx"/><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image" Target="media/image3.emf"/><Relationship Id="rId42" Type="http://schemas.openxmlformats.org/officeDocument/2006/relationships/hyperlink" Target="https://medicaid.ncdhhs.gov/forms/care-management-form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9" Type="http://schemas.openxmlformats.org/officeDocument/2006/relationships/hyperlink" Target="https://medicaid.ncdhhs.gov/transformation/tailored-care-management/tailored-cm-data-specification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image" Target="media/image2.emf"/><Relationship Id="rId37" Type="http://schemas.openxmlformats.org/officeDocument/2006/relationships/package" Target="embeddings/Microsoft_Excel_Worksheet2.xlsx"/><Relationship Id="rId40" Type="http://schemas.openxmlformats.org/officeDocument/2006/relationships/hyperlink" Target="https://medicaid.ncdhhs.gov/transformation/tailored-care-management"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hyperlink" Target="https://medicaid.ncdhhs.gov/transformation/tailored-care-management/tailored-cm-data-specifications-guidanc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hyperlink" Target="https://medicaid.ncdhhs.gov/transformation/tailored-care-management/tailored-cm-data-specifications-guidance" TargetMode="External"/><Relationship Id="rId30" Type="http://schemas.openxmlformats.org/officeDocument/2006/relationships/hyperlink" Target="https://medicaid.ncdhhs.gov/transformation/tailored-care-management/tailored-cm-data-specifications-guidance" TargetMode="External"/><Relationship Id="rId35" Type="http://schemas.openxmlformats.org/officeDocument/2006/relationships/package" Target="embeddings/Microsoft_Excel_Worksheet1.xlsx"/><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package" Target="embeddings/Microsoft_Excel_Worksheet.xlsx"/><Relationship Id="rId38" Type="http://schemas.openxmlformats.org/officeDocument/2006/relationships/image" Target="media/image5.emf"/><Relationship Id="rId46" Type="http://schemas.openxmlformats.org/officeDocument/2006/relationships/fontTable" Target="fontTable.xml"/><Relationship Id="rId20" Type="http://schemas.openxmlformats.org/officeDocument/2006/relationships/hyperlink" Target="https://medicaid.ncdhhs.gov/transformation/tailored-care-management/tailored-cm-data-specifications-guidance" TargetMode="External"/><Relationship Id="rId41" Type="http://schemas.openxmlformats.org/officeDocument/2006/relationships/hyperlink" Target="https://medicaid.ncdhhs.gov/car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customXml/itemProps3.xml><?xml version="1.0" encoding="utf-8"?>
<ds:datastoreItem xmlns:ds="http://schemas.openxmlformats.org/officeDocument/2006/customXml" ds:itemID="{C2C5BFFD-5726-4535-AFBC-9B11FC0D06E5}">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e6067449-8796-49e4-8d61-964a215ef526"/>
    <ds:schemaRef ds:uri="140bd7d2-9b49-4074-96a7-398511fa7d55"/>
    <ds:schemaRef ds:uri="http://schemas.microsoft.com/sharepoint/v3"/>
    <ds:schemaRef ds:uri="http://purl.org/dc/elements/1.1/"/>
  </ds:schemaRefs>
</ds:datastoreItem>
</file>

<file path=customXml/itemProps4.xml><?xml version="1.0" encoding="utf-8"?>
<ds:datastoreItem xmlns:ds="http://schemas.openxmlformats.org/officeDocument/2006/customXml" ds:itemID="{42859574-7C03-456E-B6E5-5CB8F0652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5868</Words>
  <Characters>35377</Characters>
  <Application>Microsoft Office Word</Application>
  <DocSecurity>0</DocSecurity>
  <Lines>294</Lines>
  <Paragraphs>82</Paragraphs>
  <ScaleCrop>false</ScaleCrop>
  <Company>.</Company>
  <LinksUpToDate>false</LinksUpToDate>
  <CharactersWithSpaces>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Lafferty, Neil</cp:lastModifiedBy>
  <cp:revision>6</cp:revision>
  <cp:lastPrinted>2019-03-18T10:00:00Z</cp:lastPrinted>
  <dcterms:created xsi:type="dcterms:W3CDTF">2023-02-02T20:14:00Z</dcterms:created>
  <dcterms:modified xsi:type="dcterms:W3CDTF">2023-02-02T20:30:00Z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